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8C2D" w14:textId="1A258FBB" w:rsidR="00AB56AA" w:rsidRDefault="00AB56AA" w:rsidP="009C2791">
      <w:pPr>
        <w:pStyle w:val="Rubrik1"/>
      </w:pPr>
      <w:r w:rsidRPr="00523D6B">
        <w:t>Studieanvisning</w:t>
      </w:r>
      <w:r w:rsidR="009C2791">
        <w:t xml:space="preserve">, </w:t>
      </w:r>
      <w:r>
        <w:t xml:space="preserve">Arbetsrätt, 747g48 (7,5 </w:t>
      </w:r>
      <w:proofErr w:type="spellStart"/>
      <w:r>
        <w:t>hp</w:t>
      </w:r>
      <w:proofErr w:type="spellEnd"/>
      <w:r>
        <w:t>), för Affärsjuridiska kandidatprogrammet, LiU, ht 2019</w:t>
      </w:r>
    </w:p>
    <w:p w14:paraId="179241C3" w14:textId="314AD829" w:rsidR="00AB56AA" w:rsidRDefault="00D41F91" w:rsidP="00D93E94">
      <w:pPr>
        <w:pStyle w:val="Rubrik2"/>
      </w:pPr>
      <w:r>
        <w:t>Lärare</w:t>
      </w:r>
    </w:p>
    <w:p w14:paraId="194FE521" w14:textId="6D544A1B" w:rsidR="00736E9F" w:rsidRPr="00736E9F" w:rsidRDefault="00234657" w:rsidP="00736E9F">
      <w:r>
        <w:t xml:space="preserve">Kursansvarig, examinator och huvudlärare på kursen är universitetslektor Åsa Åslund. </w:t>
      </w:r>
    </w:p>
    <w:p w14:paraId="1F537550" w14:textId="554E6E7D" w:rsidR="009D46B1" w:rsidRDefault="00234657" w:rsidP="00BB35F4">
      <w:pPr>
        <w:pStyle w:val="Normalindrag"/>
      </w:pPr>
      <w:r>
        <w:t>Frågor om kursen kan ställas till lärarna i samband med undervisning eller till e-postadress asa.aslund@liu.se. Åsas kontor är 3B:844 i A-huset på Campus Valla.</w:t>
      </w:r>
    </w:p>
    <w:p w14:paraId="3CF19F2E" w14:textId="3FF199EF" w:rsidR="00234657" w:rsidRDefault="00234657" w:rsidP="00234657">
      <w:pPr>
        <w:pStyle w:val="Normalindrag"/>
      </w:pPr>
    </w:p>
    <w:p w14:paraId="32AB3BFE" w14:textId="47592687" w:rsidR="008323AC" w:rsidRDefault="007058CB" w:rsidP="00D93E94">
      <w:pPr>
        <w:pStyle w:val="Rubrik2"/>
      </w:pPr>
      <w:r>
        <w:t>Kursens innehåll</w:t>
      </w:r>
    </w:p>
    <w:p w14:paraId="6CFC911F" w14:textId="61D5BBFB" w:rsidR="00C01242" w:rsidRDefault="00C01242" w:rsidP="00C01242">
      <w:r>
        <w:t>Kursen syfte är att ge goda kunskaper om den svenska arbetsrätten, som numera även påverkas av EU-rätten. Kursen består av följande salsmoment (F=föreläsning, P- problemlösningsföreläsning, S=seminarium):</w:t>
      </w:r>
    </w:p>
    <w:p w14:paraId="5F99711C" w14:textId="77777777" w:rsidR="00C01242" w:rsidRPr="00C01242" w:rsidRDefault="00C01242" w:rsidP="00C01242">
      <w:pPr>
        <w:pStyle w:val="Normalindrag"/>
      </w:pPr>
    </w:p>
    <w:p w14:paraId="30583CA9" w14:textId="77777777" w:rsidR="00C01242" w:rsidRDefault="00C01242" w:rsidP="00C01242">
      <w:r>
        <w:t>•</w:t>
      </w:r>
      <w:r>
        <w:tab/>
        <w:t xml:space="preserve">Kursintroduktion </w:t>
      </w:r>
    </w:p>
    <w:p w14:paraId="441BF689" w14:textId="77777777" w:rsidR="00C01242" w:rsidRDefault="00C01242" w:rsidP="00C01242">
      <w:r>
        <w:t>•</w:t>
      </w:r>
      <w:r>
        <w:tab/>
        <w:t xml:space="preserve">F1: Individuell arbetsrätt </w:t>
      </w:r>
    </w:p>
    <w:p w14:paraId="7FCDC91F" w14:textId="77777777" w:rsidR="00C01242" w:rsidRDefault="00C01242" w:rsidP="00C01242">
      <w:r>
        <w:t>•</w:t>
      </w:r>
      <w:r>
        <w:tab/>
        <w:t>P: Individuell arbetsrätt</w:t>
      </w:r>
    </w:p>
    <w:p w14:paraId="14A9A4EC" w14:textId="77777777" w:rsidR="00C01242" w:rsidRDefault="00C01242" w:rsidP="00C01242">
      <w:r>
        <w:t>•</w:t>
      </w:r>
      <w:r>
        <w:tab/>
        <w:t xml:space="preserve">F2: Individuell arbetsrätt </w:t>
      </w:r>
    </w:p>
    <w:p w14:paraId="4B28B28C" w14:textId="77777777" w:rsidR="00C01242" w:rsidRDefault="00C01242" w:rsidP="00C01242">
      <w:r>
        <w:t>•</w:t>
      </w:r>
      <w:r>
        <w:tab/>
        <w:t xml:space="preserve">P: Individuell arbetsrätt </w:t>
      </w:r>
    </w:p>
    <w:p w14:paraId="73568344" w14:textId="77777777" w:rsidR="00C01242" w:rsidRDefault="00C01242" w:rsidP="00C01242">
      <w:r>
        <w:t>•</w:t>
      </w:r>
      <w:r>
        <w:tab/>
        <w:t>S1: Individuell arbetsrätt</w:t>
      </w:r>
    </w:p>
    <w:p w14:paraId="58F6C2CF" w14:textId="77777777" w:rsidR="00C01242" w:rsidRDefault="00C01242" w:rsidP="00C01242">
      <w:r>
        <w:t>•</w:t>
      </w:r>
      <w:r>
        <w:tab/>
        <w:t xml:space="preserve">F3: Kollektiv arbetsrätt </w:t>
      </w:r>
    </w:p>
    <w:p w14:paraId="0D9C69D3" w14:textId="77777777" w:rsidR="00C01242" w:rsidRDefault="00C01242" w:rsidP="00C01242">
      <w:r>
        <w:t>•</w:t>
      </w:r>
      <w:r>
        <w:tab/>
        <w:t>P: Kollektiv arbetsrätt</w:t>
      </w:r>
    </w:p>
    <w:p w14:paraId="44948956" w14:textId="77777777" w:rsidR="00C01242" w:rsidRDefault="00C01242" w:rsidP="00C01242">
      <w:r>
        <w:t>•</w:t>
      </w:r>
      <w:r>
        <w:tab/>
        <w:t>S2: Kollektiv arbetsrätt</w:t>
      </w:r>
    </w:p>
    <w:p w14:paraId="11657F3D" w14:textId="77777777" w:rsidR="00C01242" w:rsidRDefault="00C01242" w:rsidP="00C01242">
      <w:r>
        <w:t>•</w:t>
      </w:r>
      <w:r>
        <w:tab/>
        <w:t>F4: Diskriminering i arbetslivet</w:t>
      </w:r>
    </w:p>
    <w:p w14:paraId="7DCEF636" w14:textId="77777777" w:rsidR="00C01242" w:rsidRDefault="00C01242" w:rsidP="00C01242">
      <w:r>
        <w:t>•</w:t>
      </w:r>
      <w:r>
        <w:tab/>
        <w:t>P: Diskriminering i arbetslivet</w:t>
      </w:r>
    </w:p>
    <w:p w14:paraId="07C87885" w14:textId="77777777" w:rsidR="00C01242" w:rsidRDefault="00C01242" w:rsidP="00C01242">
      <w:r>
        <w:t>•</w:t>
      </w:r>
      <w:r>
        <w:tab/>
        <w:t>F5: Arbetsmiljö, arbetstid, ledighet, bemanning</w:t>
      </w:r>
    </w:p>
    <w:p w14:paraId="30C44662" w14:textId="77777777" w:rsidR="00C01242" w:rsidRDefault="00C01242" w:rsidP="00C01242">
      <w:r>
        <w:t>•</w:t>
      </w:r>
      <w:r>
        <w:tab/>
        <w:t>P: Arbetsmiljö, arbetstid, ledighet, bemanning</w:t>
      </w:r>
    </w:p>
    <w:p w14:paraId="74CCDCB0" w14:textId="77777777" w:rsidR="00C01242" w:rsidRDefault="00C01242" w:rsidP="00C01242">
      <w:r>
        <w:t>•</w:t>
      </w:r>
      <w:r>
        <w:tab/>
        <w:t>S3: Diskriminering i arbetslivet</w:t>
      </w:r>
    </w:p>
    <w:p w14:paraId="678E96B4" w14:textId="5A37D548" w:rsidR="00C01242" w:rsidRDefault="00C01242" w:rsidP="00C01242">
      <w:r>
        <w:t>•</w:t>
      </w:r>
      <w:r>
        <w:tab/>
        <w:t>S4: Arbetsmiljö, arbetstid, ledighet, bemanning</w:t>
      </w:r>
    </w:p>
    <w:p w14:paraId="4227F4B7" w14:textId="1C9532B7" w:rsidR="007058CB" w:rsidRDefault="00C01242" w:rsidP="00C01242">
      <w:r>
        <w:t>•</w:t>
      </w:r>
      <w:r>
        <w:tab/>
        <w:t>S5: Rättsfallsseminarium</w:t>
      </w:r>
    </w:p>
    <w:p w14:paraId="22C74D68" w14:textId="52F147BA" w:rsidR="00C01242" w:rsidRDefault="00C01242" w:rsidP="00C01242">
      <w:pPr>
        <w:pStyle w:val="Normalindrag"/>
      </w:pPr>
    </w:p>
    <w:p w14:paraId="0D598636" w14:textId="44C06B36" w:rsidR="00C01242" w:rsidRDefault="00C01242" w:rsidP="00C01242">
      <w:pPr>
        <w:pStyle w:val="Normalindrag"/>
      </w:pPr>
    </w:p>
    <w:p w14:paraId="24DDE0B8" w14:textId="406B5C5A" w:rsidR="00D84640" w:rsidRDefault="00D84640" w:rsidP="00D93E94">
      <w:pPr>
        <w:pStyle w:val="Rubrik2"/>
      </w:pPr>
      <w:r>
        <w:t>Kurslitteratur</w:t>
      </w:r>
    </w:p>
    <w:p w14:paraId="28B3D3E0" w14:textId="1D55140D" w:rsidR="00264D90" w:rsidRDefault="00264D90" w:rsidP="00264D90">
      <w:r>
        <w:t xml:space="preserve">Ordinarie kurslitteratur för kursen är nedanstående böcker. I den mån en nyare upplaga av kurslitteraturen har hunnit komma ut innan eller i anslutning till kursstart ska den nyare upplagan användas. </w:t>
      </w:r>
    </w:p>
    <w:p w14:paraId="63EEFC54" w14:textId="77777777" w:rsidR="00F96F8B" w:rsidRPr="00F96F8B" w:rsidRDefault="00F96F8B" w:rsidP="00F96F8B">
      <w:pPr>
        <w:pStyle w:val="Normalindrag"/>
      </w:pPr>
    </w:p>
    <w:p w14:paraId="15D40E8C" w14:textId="71375818" w:rsidR="00264D90" w:rsidRDefault="00264D90" w:rsidP="00264D90">
      <w:r>
        <w:t>•</w:t>
      </w:r>
      <w:r w:rsidR="00A4146F">
        <w:t xml:space="preserve"> </w:t>
      </w:r>
      <w:proofErr w:type="spellStart"/>
      <w:r>
        <w:t>Sigeman</w:t>
      </w:r>
      <w:proofErr w:type="spellEnd"/>
      <w:r>
        <w:t xml:space="preserve">, Tore &amp; Sjödin, Erik, Arbetsrätten: en översikt, 7 uppl., Wolters </w:t>
      </w:r>
      <w:proofErr w:type="spellStart"/>
      <w:r>
        <w:t>Kluwer</w:t>
      </w:r>
      <w:proofErr w:type="spellEnd"/>
      <w:r>
        <w:t xml:space="preserve"> AB, Stockholm, 2017 (kursens huvudbok) </w:t>
      </w:r>
    </w:p>
    <w:p w14:paraId="033EBFFE" w14:textId="4EAF456E" w:rsidR="00264D90" w:rsidRDefault="00264D90" w:rsidP="00264D90">
      <w:r>
        <w:t>•</w:t>
      </w:r>
      <w:r w:rsidR="00A4146F">
        <w:t xml:space="preserve"> </w:t>
      </w:r>
      <w:r>
        <w:t xml:space="preserve">Källström, Kent, Malmberg, Jonas &amp; Öman, Sören, Den kollektiva arbetsrätten: en lärobok, 2 uppl., Iustus, Uppsala, 2019  </w:t>
      </w:r>
    </w:p>
    <w:p w14:paraId="1958306B" w14:textId="78A650A4" w:rsidR="00264D90" w:rsidRDefault="00264D90" w:rsidP="00264D90">
      <w:r>
        <w:t>•</w:t>
      </w:r>
      <w:r w:rsidR="00A4146F">
        <w:t xml:space="preserve"> </w:t>
      </w:r>
      <w:r>
        <w:t xml:space="preserve">Göransson, Håkan </w:t>
      </w:r>
      <w:proofErr w:type="spellStart"/>
      <w:r>
        <w:t>Gabinus</w:t>
      </w:r>
      <w:proofErr w:type="spellEnd"/>
      <w:r>
        <w:t xml:space="preserve"> &amp; Del </w:t>
      </w:r>
      <w:proofErr w:type="spellStart"/>
      <w:r>
        <w:t>Sante</w:t>
      </w:r>
      <w:proofErr w:type="spellEnd"/>
      <w:r>
        <w:t xml:space="preserve">, </w:t>
      </w:r>
      <w:proofErr w:type="spellStart"/>
      <w:r>
        <w:t>Naiti</w:t>
      </w:r>
      <w:proofErr w:type="spellEnd"/>
      <w:r>
        <w:t xml:space="preserve">, Diskrimineringslagen: en lärobok, Norstedts juridik, Stockholm, 2018  </w:t>
      </w:r>
    </w:p>
    <w:p w14:paraId="674634BD" w14:textId="3DE39171" w:rsidR="00264D90" w:rsidRDefault="00264D90" w:rsidP="00264D90">
      <w:r>
        <w:t>•</w:t>
      </w:r>
      <w:r w:rsidR="00A4146F">
        <w:t xml:space="preserve"> </w:t>
      </w:r>
      <w:proofErr w:type="spellStart"/>
      <w:r>
        <w:t>Iseskog</w:t>
      </w:r>
      <w:proofErr w:type="spellEnd"/>
      <w:r>
        <w:t xml:space="preserve">, Tommy, Arbetsmiljöansvar, 12 uppl., Norstedts Juridik AB, Stockholm, 2015 </w:t>
      </w:r>
    </w:p>
    <w:p w14:paraId="1775CD63" w14:textId="77777777" w:rsidR="00F96F8B" w:rsidRDefault="00F96F8B" w:rsidP="00264D90"/>
    <w:p w14:paraId="1A6ADD7C" w14:textId="78433866" w:rsidR="00E21BEC" w:rsidRDefault="00264D90" w:rsidP="002C7326">
      <w:pPr>
        <w:pStyle w:val="Normalindrag"/>
      </w:pPr>
      <w:r>
        <w:t xml:space="preserve">Studenterna förväntas även ha tillgång till aktuell lagtext, exempelvis en lagbok eller en lagsamling i arbetsrätt. Förutom ovan nämnda litteratur tillkommer rättsfall som behandlas under de olika seminarierna. </w:t>
      </w:r>
    </w:p>
    <w:p w14:paraId="5052DFCE" w14:textId="3BF7EC4C" w:rsidR="00264D90" w:rsidRDefault="00264D90" w:rsidP="00BB35F4">
      <w:pPr>
        <w:pStyle w:val="Normalindrag"/>
      </w:pPr>
      <w:r>
        <w:t xml:space="preserve">Nedanstående litteratur rekommenderas som icke-obligatorisk referenslitteratur för fördjupningsstudier. </w:t>
      </w:r>
    </w:p>
    <w:p w14:paraId="3130F4F4" w14:textId="77777777" w:rsidR="00194EB2" w:rsidRDefault="00194EB2" w:rsidP="00BB35F4">
      <w:pPr>
        <w:pStyle w:val="Normalindrag"/>
      </w:pPr>
    </w:p>
    <w:p w14:paraId="1660B47C" w14:textId="7E015F52" w:rsidR="00264D90" w:rsidRDefault="00264D90" w:rsidP="00264D90">
      <w:r>
        <w:t>•</w:t>
      </w:r>
      <w:r w:rsidR="002C7326">
        <w:t xml:space="preserve"> </w:t>
      </w:r>
      <w:r>
        <w:t xml:space="preserve">Glavå, Mats &amp; Hansson, Mikael, Arbetsrätt, 3 uppl., Studentlitteratur, Lund, 2016 </w:t>
      </w:r>
    </w:p>
    <w:p w14:paraId="16F8B9F0" w14:textId="07C25A33" w:rsidR="00264D90" w:rsidRDefault="00264D90" w:rsidP="00264D90">
      <w:r>
        <w:t>•</w:t>
      </w:r>
      <w:r w:rsidR="002C7326">
        <w:t xml:space="preserve"> </w:t>
      </w:r>
      <w:proofErr w:type="spellStart"/>
      <w:r>
        <w:t>Iseskog</w:t>
      </w:r>
      <w:proofErr w:type="spellEnd"/>
      <w:r>
        <w:t xml:space="preserve">, Tommy, Uppsägning av personliga skäl, 8 uppl., Norstedts juridik, Stockholm, 2011 </w:t>
      </w:r>
    </w:p>
    <w:p w14:paraId="71C2CCF2" w14:textId="2FD0C271" w:rsidR="00D84640" w:rsidRDefault="00264D90" w:rsidP="00264D90">
      <w:r>
        <w:t>•</w:t>
      </w:r>
      <w:r w:rsidR="002C7326">
        <w:t xml:space="preserve"> </w:t>
      </w:r>
      <w:r>
        <w:t>Källström, Kent &amp; Malmberg, Jonas, Anställningsförhållandet: inledning till den individuella arbetsrätten, 5 uppl., Iustus, Uppsala, 2019</w:t>
      </w:r>
    </w:p>
    <w:p w14:paraId="264E7CC9" w14:textId="2C1601A3" w:rsidR="00F477DA" w:rsidRDefault="00F477DA" w:rsidP="00F477DA">
      <w:pPr>
        <w:pStyle w:val="Normalindrag"/>
      </w:pPr>
    </w:p>
    <w:p w14:paraId="6349A327" w14:textId="21FE74BA" w:rsidR="00F477DA" w:rsidRDefault="00F9675C" w:rsidP="00F9675C">
      <w:pPr>
        <w:pStyle w:val="Rubrik3"/>
      </w:pPr>
      <w:r>
        <w:t>Föreläsningar och problemlösningsföreläsningar</w:t>
      </w:r>
    </w:p>
    <w:p w14:paraId="616FE81A" w14:textId="6A27319A" w:rsidR="00CB67B0" w:rsidRPr="00CB67B0" w:rsidRDefault="008A3F44" w:rsidP="002C7326">
      <w:r>
        <w:t xml:space="preserve">Det är viktigt att du kommer förberedd till alla föreläsningar. Har du läst de avsnitt i kurslitteraturen som behandlar det som tas upp på föreläsningen har du helt andra förutsättningar att tillgodogöra dig undervisningen, ställa frågor till läraren och även att klara examinationen på kursen! </w:t>
      </w:r>
    </w:p>
    <w:p w14:paraId="39D0C2CF" w14:textId="339131E7" w:rsidR="00F9675C" w:rsidRDefault="008A3F44" w:rsidP="00CB67B0">
      <w:pPr>
        <w:pStyle w:val="Normalindrag"/>
      </w:pPr>
      <w:r>
        <w:t xml:space="preserve">Föreläsningarna är avsedda att vara introducerande och översiktliga inom sitt ämnesområde. Problemlösningsföreläsningarna är upplagda efter en problembaserad modell, som utgår från realistiska situationer i arbetslivet. Du ska inför dessa föreläsningar sätta dig in i situationerna som läggs ut på </w:t>
      </w:r>
      <w:proofErr w:type="spellStart"/>
      <w:r>
        <w:t>Lisam</w:t>
      </w:r>
      <w:proofErr w:type="spellEnd"/>
      <w:r>
        <w:t>, hitta de juridiska problemen och söka svar på hur dessa hanteras juridiskt genom att studera kurslitteraturen och aktuell lagtext. För att visa hur det är tänkt att du ska arbeta ges ett exempel nedan.</w:t>
      </w:r>
      <w:r w:rsidR="001D0B9A" w:rsidRPr="001D0B9A">
        <w:t xml:space="preserve"> </w:t>
      </w:r>
      <w:r w:rsidR="001D0B9A">
        <w:t>Som ett arbetsredskap får du några olika rubriker som hjälper dig att närma dig problemet på ett bra sätt (se exemplet).</w:t>
      </w:r>
    </w:p>
    <w:p w14:paraId="0C119E12" w14:textId="77777777" w:rsidR="0090018B" w:rsidRDefault="0090018B" w:rsidP="00194EB2">
      <w:pPr>
        <w:pStyle w:val="Normalindrag"/>
      </w:pPr>
    </w:p>
    <w:p w14:paraId="1FDAC072" w14:textId="1DEC44A1" w:rsidR="00194EB2" w:rsidRPr="00194EB2" w:rsidRDefault="0090018B" w:rsidP="00194EB2">
      <w:pPr>
        <w:pStyle w:val="Normalindrag"/>
      </w:pPr>
      <w:r>
        <w:rPr>
          <w:noProof/>
        </w:rPr>
        <w:lastRenderedPageBreak/>
        <mc:AlternateContent>
          <mc:Choice Requires="wps">
            <w:drawing>
              <wp:anchor distT="0" distB="0" distL="114300" distR="114300" simplePos="0" relativeHeight="251659264" behindDoc="0" locked="0" layoutInCell="1" allowOverlap="1" wp14:anchorId="5EF39FB0" wp14:editId="43421AE6">
                <wp:simplePos x="0" y="0"/>
                <wp:positionH relativeFrom="column">
                  <wp:posOffset>0</wp:posOffset>
                </wp:positionH>
                <wp:positionV relativeFrom="paragraph">
                  <wp:posOffset>0</wp:posOffset>
                </wp:positionV>
                <wp:extent cx="1828800" cy="1828800"/>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0D17B3" w14:textId="77777777" w:rsidR="0090018B" w:rsidRDefault="0090018B" w:rsidP="00B2451F">
                            <w:r>
                              <w:t>Exempel:</w:t>
                            </w:r>
                          </w:p>
                          <w:p w14:paraId="4F52FF06" w14:textId="77777777" w:rsidR="0090018B" w:rsidRDefault="0090018B" w:rsidP="008F5FB2">
                            <w:pPr>
                              <w:pStyle w:val="Normalindrag"/>
                            </w:pPr>
                            <w:r>
                              <w:t xml:space="preserve">Situation: Linda är anställd i ett litet industriföretag som ägs helt av hennes båda föräldrar, Selma och Sixten. Linda har arbetat i företaget i fyra år och haft flera olika roller. De senaste åren har hon ansvarat för den löpande ekonomiska redovisningen och schemaläggningen av personalen. Under en familjemiddag vid fars dag i november uppstår en diskussion om hur företagets ekonomi egentligen sköts och Linda och Sixten blir ordentligt osams. När Linda följande morgon kommer till sin arbetsplats möts hon av ett e-postmeddelande från sin pappa som meddelar att hon är uppsagd från sin anställning med omedelbar verkan. Linda har aldrig haft något skriftligt anställningsavtal och har aldrig funderat på sitt eget anställningsskydd, men nu känner hon sig plötsligt väldigt utsatt. </w:t>
                            </w:r>
                          </w:p>
                          <w:p w14:paraId="3E0E7095" w14:textId="77777777" w:rsidR="0090018B" w:rsidRDefault="0090018B" w:rsidP="008F5FB2">
                            <w:pPr>
                              <w:pStyle w:val="Normalindrag"/>
                            </w:pPr>
                            <w:r>
                              <w:t xml:space="preserve">Konkreta frågeställningar: Hur ser anställningsskyddet ut för arbetstagare som tillhör arbetsgivarens familj? </w:t>
                            </w:r>
                          </w:p>
                          <w:p w14:paraId="4B01D114" w14:textId="77777777" w:rsidR="0090018B" w:rsidRDefault="0090018B" w:rsidP="008F5FB2">
                            <w:pPr>
                              <w:pStyle w:val="Normalindrag"/>
                            </w:pPr>
                            <w:r>
                              <w:t>Viktig rättskälla: 1 § lagen (1982:80) om anställningsskydd (LAS)</w:t>
                            </w:r>
                          </w:p>
                          <w:p w14:paraId="1FBEDB03" w14:textId="77777777" w:rsidR="0090018B" w:rsidRDefault="0090018B" w:rsidP="008F5FB2">
                            <w:pPr>
                              <w:pStyle w:val="Normalindrag"/>
                            </w:pPr>
                            <w:r>
                              <w:t xml:space="preserve">Viktiga omständigheter: Det faktum att Linda inte har reglerat sitt anställningsskydd i ett anställningsavtal är avgörande i det här fallet, då LAS enligt 1 § </w:t>
                            </w:r>
                            <w:proofErr w:type="gramStart"/>
                            <w:r>
                              <w:t xml:space="preserve">2 </w:t>
                            </w:r>
                            <w:proofErr w:type="spellStart"/>
                            <w:r>
                              <w:t>st</w:t>
                            </w:r>
                            <w:proofErr w:type="spellEnd"/>
                            <w:proofErr w:type="gramEnd"/>
                            <w:r>
                              <w:t xml:space="preserve"> 2 p inte gäller i fall då arbetstagare tillhör arbetsgivarens familj. Hade Linda haft ett anställningsavtal som reglerat frågor om när uppsägning får ske, uppsägningstid mm hade detta gällt. Det är också vanligt med anställningsavtal som stadgar att LAS regler ska gälla inom det här området. </w:t>
                            </w:r>
                          </w:p>
                          <w:p w14:paraId="77E4C765" w14:textId="77777777" w:rsidR="0090018B" w:rsidRPr="00F9675C" w:rsidRDefault="0090018B" w:rsidP="008F5FB2">
                            <w:pPr>
                              <w:pStyle w:val="Normalindrag"/>
                            </w:pPr>
                            <w:r>
                              <w:t>Lösning enligt gällande rätt: Linda har inget anställningsskydd i det aktuella läget och hennes far kan därför säga upp henne på det sätt som han gör.</w:t>
                            </w:r>
                          </w:p>
                          <w:p w14:paraId="1EC26E92" w14:textId="77777777" w:rsidR="0090018B" w:rsidRPr="00BB4F5E" w:rsidRDefault="0090018B" w:rsidP="00BB4F5E">
                            <w:pPr>
                              <w:pStyle w:val="Normalindrag"/>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F39FB0" id="_x0000_t202" coordsize="21600,21600" o:spt="202" path="m,l,21600r21600,l21600,xe">
                <v:stroke joinstyle="miter"/>
                <v:path gradientshapeok="t" o:connecttype="rect"/>
              </v:shapetype>
              <v:shape id="Textruta 4"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" filled="f" strokeweight=".5pt">
                <v:textbox style="mso-fit-shape-to-text:t">
                  <w:txbxContent>
                    <w:p w14:paraId="560D17B3" w14:textId="77777777" w:rsidR="0090018B" w:rsidRDefault="0090018B" w:rsidP="00B2451F">
                      <w:r>
                        <w:t>Exempel:</w:t>
                      </w:r>
                    </w:p>
                    <w:p w14:paraId="4F52FF06" w14:textId="77777777" w:rsidR="0090018B" w:rsidRDefault="0090018B" w:rsidP="008F5FB2">
                      <w:pPr>
                        <w:pStyle w:val="Normalindrag"/>
                      </w:pPr>
                      <w:r>
                        <w:t xml:space="preserve">Situation: Linda är anställd i ett litet industriföretag som ägs helt av hennes båda föräldrar, Selma och Sixten. Linda har arbetat i företaget i fyra år och haft flera olika roller. De senaste åren har hon ansvarat för den löpande ekonomiska redovisningen och schemaläggningen av personalen. Under en familjemiddag vid fars dag i november uppstår en diskussion om hur företagets ekonomi egentligen sköts och Linda och Sixten blir ordentligt osams. När Linda följande morgon kommer till sin arbetsplats möts hon av ett e-postmeddelande från sin pappa som meddelar att hon är uppsagd från sin anställning med omedelbar verkan. Linda har aldrig haft något skriftligt anställningsavtal och har aldrig funderat på sitt eget anställningsskydd, men nu känner hon sig plötsligt väldigt utsatt. </w:t>
                      </w:r>
                    </w:p>
                    <w:p w14:paraId="3E0E7095" w14:textId="77777777" w:rsidR="0090018B" w:rsidRDefault="0090018B" w:rsidP="008F5FB2">
                      <w:pPr>
                        <w:pStyle w:val="Normalindrag"/>
                      </w:pPr>
                      <w:r>
                        <w:t xml:space="preserve">Konkreta frågeställningar: Hur ser anställningsskyddet ut för arbetstagare som tillhör arbetsgivarens familj? </w:t>
                      </w:r>
                    </w:p>
                    <w:p w14:paraId="4B01D114" w14:textId="77777777" w:rsidR="0090018B" w:rsidRDefault="0090018B" w:rsidP="008F5FB2">
                      <w:pPr>
                        <w:pStyle w:val="Normalindrag"/>
                      </w:pPr>
                      <w:r>
                        <w:t>Viktig rättskälla: 1 § lagen (1982:80) om anställningsskydd (LAS)</w:t>
                      </w:r>
                    </w:p>
                    <w:p w14:paraId="1FBEDB03" w14:textId="77777777" w:rsidR="0090018B" w:rsidRDefault="0090018B" w:rsidP="008F5FB2">
                      <w:pPr>
                        <w:pStyle w:val="Normalindrag"/>
                      </w:pPr>
                      <w:r>
                        <w:t xml:space="preserve">Viktiga omständigheter: Det faktum att Linda inte har reglerat sitt anställningsskydd i ett anställningsavtal är avgörande i det här fallet, då LAS enligt 1 § </w:t>
                      </w:r>
                      <w:proofErr w:type="gramStart"/>
                      <w:r>
                        <w:t xml:space="preserve">2 </w:t>
                      </w:r>
                      <w:proofErr w:type="spellStart"/>
                      <w:r>
                        <w:t>st</w:t>
                      </w:r>
                      <w:proofErr w:type="spellEnd"/>
                      <w:proofErr w:type="gramEnd"/>
                      <w:r>
                        <w:t xml:space="preserve"> 2 p inte gäller i fall då arbetstagare tillhör arbetsgivarens familj. Hade Linda haft ett anställningsavtal som reglerat frågor om när uppsägning får ske, uppsägningstid mm hade detta gällt. Det är också vanligt med anställningsavtal som stadgar att LAS regler ska gälla inom det här området. </w:t>
                      </w:r>
                    </w:p>
                    <w:p w14:paraId="77E4C765" w14:textId="77777777" w:rsidR="0090018B" w:rsidRPr="00F9675C" w:rsidRDefault="0090018B" w:rsidP="008F5FB2">
                      <w:pPr>
                        <w:pStyle w:val="Normalindrag"/>
                      </w:pPr>
                      <w:r>
                        <w:t>Lösning enligt gällande rätt: Linda har inget anställningsskydd i det aktuella läget och hennes far kan därför säga upp henne på det sätt som han gör.</w:t>
                      </w:r>
                    </w:p>
                    <w:p w14:paraId="1EC26E92" w14:textId="77777777" w:rsidR="0090018B" w:rsidRPr="00BB4F5E" w:rsidRDefault="0090018B" w:rsidP="00BB4F5E">
                      <w:pPr>
                        <w:pStyle w:val="Normalindrag"/>
                      </w:pPr>
                    </w:p>
                  </w:txbxContent>
                </v:textbox>
                <w10:wrap type="square"/>
              </v:shape>
            </w:pict>
          </mc:Fallback>
        </mc:AlternateContent>
      </w:r>
    </w:p>
    <w:p w14:paraId="6FBAFC4B" w14:textId="77777777" w:rsidR="007058CB" w:rsidRPr="007058CB" w:rsidRDefault="007058CB" w:rsidP="00FA63D6"/>
    <w:p w14:paraId="689CF6A3" w14:textId="1EBFB6C4" w:rsidR="00860F95" w:rsidRDefault="00FA63D6" w:rsidP="002C7326">
      <w:pPr>
        <w:pStyle w:val="Normalindrag"/>
      </w:pPr>
      <w:r>
        <w:t>Du kommer att få ut mycket mer av problemlösningsföreläsningarna om du själv har försökt lösa problemen innan undervisningstillfället. Läraren kommer uppmuntra till diskussion och frågor under undervisningstillfällena. Du behöver däremot inte lämna in några skriftliga förslag på lösningar inför problemlösningsföreläsningarna, utan förberedelsen gör du helt och hållet för din egen skull, eftersom den kommer att hjälpa dig att komma in i ämnet arbetsrätt. Inför problemlösningsföreläsningarna kommer det inte att finnas några fullständiga åhörarkopior utlagda på kurssidan, då bilderna i stor utsträckning ger lösningar på de angivna situationerna. Det du har som ledning är därför endast de angivna situationerna som läggs ut på kurssidan. Däremot kommer fullständiga åhörarkopior att läggas ut senast dagen efter det att föreläsningarna har hållits.</w:t>
      </w:r>
    </w:p>
    <w:p w14:paraId="10B57D20" w14:textId="3BD3456F" w:rsidR="0090018B" w:rsidRDefault="00FA63D6" w:rsidP="00860F95">
      <w:pPr>
        <w:pStyle w:val="Normalindrag"/>
      </w:pPr>
      <w:r>
        <w:t>Arbeta gärna tillsammans i grupp med att förbereda er inför problem</w:t>
      </w:r>
      <w:r w:rsidR="002C7326">
        <w:t>-</w:t>
      </w:r>
      <w:r>
        <w:t xml:space="preserve">lösningsföreläsningarna. Läs först de angivna läsinstruktionerna och påbörja tankearbetet kring situationerna. Träffas sedan och diskutera situationerna och försök hitta bra grunder för en korrekt juridisk lösning. Arbeta med rubrikerna i den angivna ordningen så att det första steget blir att ställa upp den konkreta </w:t>
      </w:r>
      <w:r>
        <w:lastRenderedPageBreak/>
        <w:t>frågeställningen. Vad handlar situationen om egentligen? Ibland kan det finnas flera frågeställningar i situationen som är juridiskt intressanta. Gå sedan vidare och identifiera vilka rättskällor som är viktiga för att hitta ett svar. Löses frågan direkt och helt i lag så behöver du inte gå längre. Men ofta kommer praxis, förarbeten, myndighetsföreskrifter och/eller individuella anställningsavtal att vara viktiga (samt i verkliga arbetslivet, framför allt kollektivavtal!). Argumentera sedan för vilka omständigheter som är viktiga i fallet och avsluta med att besvara problemet genom att ange hur det hanteras i gällande rätt.</w:t>
      </w:r>
    </w:p>
    <w:p w14:paraId="057EE29C" w14:textId="6FC83F3B" w:rsidR="00751D79" w:rsidRDefault="00751D79" w:rsidP="00860F95">
      <w:pPr>
        <w:pStyle w:val="Normalindrag"/>
      </w:pPr>
    </w:p>
    <w:p w14:paraId="702E9BFD" w14:textId="6E08CCFA" w:rsidR="00751D79" w:rsidRDefault="00751D79" w:rsidP="00D93E94">
      <w:pPr>
        <w:pStyle w:val="Rubrik2"/>
      </w:pPr>
      <w:r>
        <w:t>Seminarier</w:t>
      </w:r>
    </w:p>
    <w:p w14:paraId="2A1B4602" w14:textId="4A7F7D1B" w:rsidR="007368B6" w:rsidRDefault="007C2579" w:rsidP="007C2579">
      <w:r>
        <w:t xml:space="preserve">Kursens seminarier är obligatoriska. Gruppindelning för dessa läggs ut på </w:t>
      </w:r>
      <w:proofErr w:type="spellStart"/>
      <w:r>
        <w:t>Lisam</w:t>
      </w:r>
      <w:proofErr w:type="spellEnd"/>
      <w:r>
        <w:t xml:space="preserve">. </w:t>
      </w:r>
      <w:r w:rsidRPr="002C7326">
        <w:t>En separat gruppindelning kommer att göras för det femte och sista rättsfallsseminariet.</w:t>
      </w:r>
      <w:r>
        <w:t xml:space="preserve"> Seminarierna är tänkta att ge fördjupad kunskap och träna studenterna i aktiv problemlösning inom kursens olika delområden. För godkänt deltagande krävs aktiv närvaro. Studenterna förväntas sätta sig in i angivna rättsfall, förbereda sina lösningar på seminariefrågorna samt vara beredd att redovisa dessa inför seminariegruppen.</w:t>
      </w:r>
    </w:p>
    <w:p w14:paraId="62AC7A5F" w14:textId="4107289E" w:rsidR="00DE129E" w:rsidRDefault="007C2579" w:rsidP="007368B6">
      <w:pPr>
        <w:pStyle w:val="Normalindrag"/>
      </w:pPr>
      <w:r>
        <w:t xml:space="preserve">Om du har giltigt förhinder att delta i något seminarium, kontakta Åsa via mail </w:t>
      </w:r>
      <w:proofErr w:type="gramStart"/>
      <w:r>
        <w:t>asa.aslund@liu.se  för</w:t>
      </w:r>
      <w:proofErr w:type="gramEnd"/>
      <w:r>
        <w:t xml:space="preserve"> kompletteringsuppgift och ange skälet till din frånvaro.</w:t>
      </w:r>
    </w:p>
    <w:p w14:paraId="4AAE19F4" w14:textId="14267657" w:rsidR="007368B6" w:rsidRDefault="007368B6" w:rsidP="007368B6">
      <w:pPr>
        <w:pStyle w:val="Normalindrag"/>
      </w:pPr>
    </w:p>
    <w:p w14:paraId="2296B323" w14:textId="4E9AC9C5" w:rsidR="007368B6" w:rsidRDefault="006D72AB" w:rsidP="00D93E94">
      <w:pPr>
        <w:pStyle w:val="Rubrik2"/>
      </w:pPr>
      <w:r>
        <w:t>Rättsfallsanalys</w:t>
      </w:r>
    </w:p>
    <w:p w14:paraId="1934DE8F" w14:textId="1DDAA72C" w:rsidR="00427FCA" w:rsidRDefault="00427FCA" w:rsidP="00427FCA">
      <w:r>
        <w:t>Inför det sista rättsfallsseminariet ska studenterna i smågrupper lämna in två rättsfallsanalyser per grupp inom ett av nedanstående olika arbetsrättsliga områden.</w:t>
      </w:r>
    </w:p>
    <w:p w14:paraId="684C0C69" w14:textId="77777777" w:rsidR="00427FCA" w:rsidRPr="00427FCA" w:rsidRDefault="00427FCA" w:rsidP="00427FCA">
      <w:pPr>
        <w:pStyle w:val="Normalindrag"/>
      </w:pPr>
    </w:p>
    <w:p w14:paraId="1C4ADBF5" w14:textId="77777777" w:rsidR="00427FCA" w:rsidRDefault="00427FCA" w:rsidP="00427FCA">
      <w:r>
        <w:rPr>
          <w:rFonts w:ascii="Times New Roman" w:hAnsi="Times New Roman" w:cs="Times New Roman"/>
        </w:rPr>
        <w:t>‒</w:t>
      </w:r>
      <w:r>
        <w:tab/>
        <w:t>Arbetsgivarens uppsägning p g a sjukdom eller alkoholism.</w:t>
      </w:r>
    </w:p>
    <w:p w14:paraId="7EE50ED5" w14:textId="77777777" w:rsidR="00427FCA" w:rsidRDefault="00427FCA" w:rsidP="00427FCA">
      <w:r>
        <w:rPr>
          <w:rFonts w:ascii="Times New Roman" w:hAnsi="Times New Roman" w:cs="Times New Roman"/>
        </w:rPr>
        <w:t>‒</w:t>
      </w:r>
      <w:r>
        <w:tab/>
        <w:t>Arbetsgivarens uppsägning eller avsked p g a misskötsamhet.</w:t>
      </w:r>
    </w:p>
    <w:p w14:paraId="350F5F7D" w14:textId="0BEC5BD6" w:rsidR="00427FCA" w:rsidRPr="00427FCA" w:rsidRDefault="00427FCA" w:rsidP="00427FCA">
      <w:r>
        <w:rPr>
          <w:rFonts w:ascii="Times New Roman" w:hAnsi="Times New Roman" w:cs="Times New Roman"/>
        </w:rPr>
        <w:t>‒</w:t>
      </w:r>
      <w:r>
        <w:tab/>
        <w:t>Diskriminering i arbetslivet.</w:t>
      </w:r>
    </w:p>
    <w:p w14:paraId="51F5205C" w14:textId="058BE707" w:rsidR="00427FCA" w:rsidRDefault="00427FCA" w:rsidP="00427FCA">
      <w:r>
        <w:rPr>
          <w:rFonts w:ascii="Times New Roman" w:hAnsi="Times New Roman" w:cs="Times New Roman"/>
        </w:rPr>
        <w:t>‒</w:t>
      </w:r>
      <w:r>
        <w:tab/>
        <w:t>Arbetsmiljöbrott (vållande till kroppsskada, sjukdom eller död).</w:t>
      </w:r>
    </w:p>
    <w:p w14:paraId="632AB98E" w14:textId="77777777" w:rsidR="00427FCA" w:rsidRPr="00427FCA" w:rsidRDefault="00427FCA" w:rsidP="00427FCA">
      <w:pPr>
        <w:pStyle w:val="Normalindrag"/>
      </w:pPr>
    </w:p>
    <w:p w14:paraId="233B6FB9" w14:textId="693E1AB3" w:rsidR="006D72AB" w:rsidRDefault="00427FCA" w:rsidP="00427FCA">
      <w:pPr>
        <w:pStyle w:val="Normalindrag"/>
      </w:pPr>
      <w:r>
        <w:t xml:space="preserve">Lista över gruppmedlemmar samt vilka grupper som ska analysera rättsfall inom vilket område ovan kommer att läggas ut på </w:t>
      </w:r>
      <w:proofErr w:type="spellStart"/>
      <w:r w:rsidRPr="00AB5E11">
        <w:t>Lisam</w:t>
      </w:r>
      <w:proofErr w:type="spellEnd"/>
      <w:r w:rsidRPr="00AB5E11">
        <w:t xml:space="preserve"> den 12 november 201</w:t>
      </w:r>
      <w:r w:rsidR="00C4281D">
        <w:t>9</w:t>
      </w:r>
      <w:r w:rsidRPr="00AB5E11">
        <w:t>.</w:t>
      </w:r>
      <w:r>
        <w:t xml:space="preserve"> Studenterna får inte välja grupper eller område själva. Däremot ska gruppen välja rättsfall själva, men får inte välja rättsfall som behandlas vid något av kursens övriga seminarier.</w:t>
      </w:r>
    </w:p>
    <w:p w14:paraId="5CD57427" w14:textId="03D5E48C" w:rsidR="00F81290" w:rsidRDefault="00F81290" w:rsidP="00427FCA">
      <w:pPr>
        <w:pStyle w:val="Normalindrag"/>
      </w:pPr>
    </w:p>
    <w:p w14:paraId="3FAD834F" w14:textId="602692F8" w:rsidR="00F81290" w:rsidRPr="00400F95" w:rsidRDefault="00B76456" w:rsidP="00B76456">
      <w:pPr>
        <w:pStyle w:val="Rubrik3"/>
      </w:pPr>
      <w:r w:rsidRPr="00400F95">
        <w:lastRenderedPageBreak/>
        <w:t>Instruktioner för rättsfallsanalysskrivande</w:t>
      </w:r>
    </w:p>
    <w:p w14:paraId="65B18FF9" w14:textId="77777777" w:rsidR="003B0AB7" w:rsidRPr="00400F95" w:rsidRDefault="003B0AB7" w:rsidP="003B0AB7">
      <w:r w:rsidRPr="00400F95">
        <w:t xml:space="preserve">Att skriva en rättsfallsanalys innebär två steg. Först genomförs ett rättsfallsreferat enligt beskrivning nedan. </w:t>
      </w:r>
    </w:p>
    <w:p w14:paraId="620340E4" w14:textId="25D17A59" w:rsidR="00CC7609" w:rsidRPr="00400F95" w:rsidRDefault="003B0AB7" w:rsidP="007B7B6C">
      <w:pPr>
        <w:pStyle w:val="Normalindrag"/>
      </w:pPr>
      <w:r w:rsidRPr="00400F95">
        <w:t xml:space="preserve">”…[V]id rättsfallsreferat bör [man] följa en kronologisk disposition i presentationen av händelser och fakta… Ett NJA-, RÅ- eller JO-fall är ofta omfattande med noggranna redogörelser för fattade beslut på olika nivåer. Fallen berör också ofta även andra rättsfrågor än den som är av intresse för PM-författaren. Du bör tänka på att begränsa referatet av fallet till det som är sakligt relevant för PM-ämnet. Allt oväsentligt bör rensas bort. Dit hör </w:t>
      </w:r>
      <w:proofErr w:type="gramStart"/>
      <w:r w:rsidRPr="00400F95">
        <w:t>t.ex.</w:t>
      </w:r>
      <w:proofErr w:type="gramEnd"/>
      <w:r w:rsidRPr="00400F95">
        <w:t xml:space="preserve"> (normalt) datum för domar och beslut och namn på domare och beslutsfattare. Namn på parter och andra aktörer behöver ofta inte anges utan det kan räcka att använda sig av deras juridiska funktioner (</w:t>
      </w:r>
      <w:proofErr w:type="gramStart"/>
      <w:r w:rsidRPr="00400F95">
        <w:t>t.ex.</w:t>
      </w:r>
      <w:proofErr w:type="gramEnd"/>
      <w:r w:rsidRPr="00400F95">
        <w:t xml:space="preserve"> köparen, säljaren, företaget, handläggaren). I regel bör referatet avse bara slutinstansens avgörande. Underrätternas domar ska bara omnämnas om de innehåller något av särskilt intresse.”  </w:t>
      </w:r>
    </w:p>
    <w:p w14:paraId="102A8B88" w14:textId="1C29DE45" w:rsidR="003B0AB7" w:rsidRPr="00400F95" w:rsidRDefault="003B0AB7" w:rsidP="00CC7609">
      <w:pPr>
        <w:pStyle w:val="Normalindrag"/>
      </w:pPr>
      <w:r w:rsidRPr="00400F95">
        <w:t xml:space="preserve">När själva rättsfallsreferatet är genomfört följer en analys av fallet där ni ska dra slutsatser angående rättsläget genom att noggrant studera domskälen i det aktuella målet samt kurslitteraturen. </w:t>
      </w:r>
    </w:p>
    <w:p w14:paraId="0D40ACF3" w14:textId="77777777" w:rsidR="00CC7609" w:rsidRPr="00400F95" w:rsidRDefault="00CC7609" w:rsidP="00CC7609">
      <w:pPr>
        <w:pStyle w:val="Normalindrag"/>
      </w:pPr>
    </w:p>
    <w:p w14:paraId="4B37A3B1" w14:textId="77777777" w:rsidR="003B0AB7" w:rsidRPr="00400F95" w:rsidRDefault="003B0AB7" w:rsidP="00CC7609">
      <w:pPr>
        <w:pStyle w:val="Normalindrag"/>
      </w:pPr>
      <w:r w:rsidRPr="00400F95">
        <w:t>Ett förslag är att strukturera varje rättsfallsanalys enligt följande:</w:t>
      </w:r>
    </w:p>
    <w:p w14:paraId="308F9B7D" w14:textId="77777777" w:rsidR="003B0AB7" w:rsidRPr="00400F95" w:rsidRDefault="003B0AB7" w:rsidP="003B0AB7">
      <w:r w:rsidRPr="00400F95">
        <w:t>1</w:t>
      </w:r>
      <w:r w:rsidRPr="00400F95">
        <w:tab/>
        <w:t>Omständigheter i fallet. Notera att de omständigheter som domstolen lägger vikt vid brukar upprepas i domskälen.</w:t>
      </w:r>
    </w:p>
    <w:p w14:paraId="104CCA41" w14:textId="77777777" w:rsidR="003B0AB7" w:rsidRPr="00400F95" w:rsidRDefault="003B0AB7" w:rsidP="003B0AB7">
      <w:r w:rsidRPr="00400F95">
        <w:t>2</w:t>
      </w:r>
      <w:r w:rsidRPr="00400F95">
        <w:tab/>
        <w:t>Rättsfrågan, dvs den juridiska tvistefrågan i målet. (Bevisfrågor är inte av samma intresse.)</w:t>
      </w:r>
    </w:p>
    <w:p w14:paraId="6CF7C9CC" w14:textId="77777777" w:rsidR="003B0AB7" w:rsidRPr="00400F95" w:rsidRDefault="003B0AB7" w:rsidP="003B0AB7">
      <w:r w:rsidRPr="00400F95">
        <w:t>3</w:t>
      </w:r>
      <w:r w:rsidRPr="00400F95">
        <w:tab/>
        <w:t>Domstolens (domstolarnas) bedömning i rättsfrågan. Ange även om avvikande mening fanns bland domarna och i så fall på vilket sätt dissidenten/-</w:t>
      </w:r>
      <w:proofErr w:type="spellStart"/>
      <w:r w:rsidRPr="00400F95">
        <w:t>erna</w:t>
      </w:r>
      <w:proofErr w:type="spellEnd"/>
      <w:r w:rsidRPr="00400F95">
        <w:t xml:space="preserve"> ansåg att domstolen borde ha dömt.</w:t>
      </w:r>
    </w:p>
    <w:p w14:paraId="79057B10" w14:textId="77777777" w:rsidR="003B0AB7" w:rsidRPr="00400F95" w:rsidRDefault="003B0AB7" w:rsidP="003B0AB7">
      <w:r w:rsidRPr="00400F95">
        <w:t>4</w:t>
      </w:r>
      <w:r w:rsidRPr="00400F95">
        <w:tab/>
        <w:t xml:space="preserve">Egen analys. När ovanstående är genomfört ska ni i gruppen analysera domskälen i </w:t>
      </w:r>
      <w:proofErr w:type="spellStart"/>
      <w:r w:rsidRPr="00400F95">
        <w:t>resp</w:t>
      </w:r>
      <w:proofErr w:type="spellEnd"/>
      <w:r w:rsidRPr="00400F95">
        <w:t xml:space="preserve"> mål och dessutom jämföra de båda målen med varandra och analysera skillnader och likheter i domarna, för att kunna dra säkrare slutsatser om rättsläget. Ni kan exempelvis diskutera under vilka förutsättningar domslutet hade blivit ett annat, huruvida rättsläget har förändrats sedan denna dom kom (om den har några år på nacken) och/eller om ny lagstiftning har ersatt lagrum som diskuteras i domen. Anser ni att målet utgör ett viktigt prejudikat och i så fall varför? I analysdelen ska ni koppla er diskussion till kurslitteraturen (eller </w:t>
      </w:r>
      <w:proofErr w:type="spellStart"/>
      <w:r w:rsidRPr="00400F95">
        <w:t>ev</w:t>
      </w:r>
      <w:proofErr w:type="spellEnd"/>
      <w:r w:rsidRPr="00400F95">
        <w:t xml:space="preserve"> annan valfri arbetsrättslig doktrin). </w:t>
      </w:r>
    </w:p>
    <w:p w14:paraId="4176EE42" w14:textId="77777777" w:rsidR="00CC7609" w:rsidRPr="00400F95" w:rsidRDefault="00CC7609" w:rsidP="003B0AB7"/>
    <w:p w14:paraId="7C96FD8B" w14:textId="1E82CCF2" w:rsidR="00CC7609" w:rsidRPr="00400F95" w:rsidRDefault="003B0AB7" w:rsidP="00400F95">
      <w:pPr>
        <w:pStyle w:val="Normalindrag"/>
      </w:pPr>
      <w:r w:rsidRPr="00400F95">
        <w:t xml:space="preserve">Hela arbetet inklusive båda rättsfallen (men exklusive källförteckning) ska utgöra </w:t>
      </w:r>
      <w:r w:rsidR="00400F95" w:rsidRPr="00400F95">
        <w:t>1</w:t>
      </w:r>
      <w:r w:rsidRPr="00400F95">
        <w:t xml:space="preserve"> 000 ord (±100 ords avvikelse). Den egna analysen ska utgöra minst en tredjedel av arbetet. </w:t>
      </w:r>
    </w:p>
    <w:p w14:paraId="2A348D59" w14:textId="177B0EA8" w:rsidR="00CC7609" w:rsidRPr="00400F95" w:rsidRDefault="003B0AB7" w:rsidP="00400F95">
      <w:pPr>
        <w:pStyle w:val="Normalindrag"/>
      </w:pPr>
      <w:r w:rsidRPr="00400F95">
        <w:t xml:space="preserve">Även om uppgiften till stor del handlar om ett referat ska skrivningen vara självständig. Med det avses att ni inte får citera ur rättsfallen annat än i begränsad mån, dvs om ordalydelsen är särskilt viktig att ange ordagrant. I övrigt ska ni med egna ord referera målen. Vid citering ska det framgå att det handlar om ett citat </w:t>
      </w:r>
      <w:r w:rsidRPr="00400F95">
        <w:lastRenderedPageBreak/>
        <w:t>(använd ”citationstecken”). Se till att inte göra er skyldiga till plagiering; om ni hämtar inspiration från någon annans text, såsom kurslitteraturen, måste ni omarbeta texten ordentligt, dvs använda eget ordförråd och ange källan i en fotnot. Observera att plagiering inte bara omfattar ren citatstöld, utan även när ni med en lätt bearbetning har ”lånat” ett textstycke från någon annan, även om ni anger källan (om källan inte anges är det förstås ännu värre!). Plagiering är att oärligt ta åt sig äran för någon annans formuleringar och hör inte hemma i det juridiska hantverket! Observera att plagiering anmäls till disciplinnämnden vid LiU, som kan besluta om varning eller avstängning.</w:t>
      </w:r>
    </w:p>
    <w:p w14:paraId="42E11CC5" w14:textId="20F8EDAF" w:rsidR="00B76456" w:rsidRDefault="003B0AB7" w:rsidP="00CC7609">
      <w:pPr>
        <w:pStyle w:val="Normalindrag"/>
      </w:pPr>
      <w:r w:rsidRPr="00400F95">
        <w:t xml:space="preserve">Analyserna ska i ett sammanhängande dokument lämnas in på </w:t>
      </w:r>
      <w:proofErr w:type="spellStart"/>
      <w:r w:rsidRPr="00400F95">
        <w:t>Lisam</w:t>
      </w:r>
      <w:proofErr w:type="spellEnd"/>
      <w:r w:rsidRPr="00400F95">
        <w:t xml:space="preserve"> senast den 2</w:t>
      </w:r>
      <w:r w:rsidR="00D03572" w:rsidRPr="00400F95">
        <w:t>1</w:t>
      </w:r>
      <w:r w:rsidRPr="00400F95">
        <w:t xml:space="preserve"> november 201</w:t>
      </w:r>
      <w:r w:rsidR="0035144B" w:rsidRPr="00400F95">
        <w:t>9</w:t>
      </w:r>
      <w:r w:rsidRPr="00400F95">
        <w:t xml:space="preserve"> </w:t>
      </w:r>
      <w:proofErr w:type="spellStart"/>
      <w:r w:rsidRPr="00400F95">
        <w:t>kl</w:t>
      </w:r>
      <w:proofErr w:type="spellEnd"/>
      <w:r w:rsidRPr="00400F95">
        <w:t xml:space="preserve"> 1</w:t>
      </w:r>
      <w:r w:rsidR="00342998" w:rsidRPr="00400F95">
        <w:t>0.00</w:t>
      </w:r>
      <w:r w:rsidRPr="00400F95">
        <w:t>. Arbetet kommer att granskas av plagieringsverktyget Urkund vid inlämning. Glöm inte att ange gruppmedlemmarnas namn</w:t>
      </w:r>
      <w:r w:rsidR="00A55BDD" w:rsidRPr="00400F95">
        <w:t xml:space="preserve"> och personnummer i </w:t>
      </w:r>
      <w:r w:rsidR="002D34CE" w:rsidRPr="00400F95">
        <w:t>dokumentet.</w:t>
      </w:r>
    </w:p>
    <w:p w14:paraId="7E695449" w14:textId="29D36B82" w:rsidR="002D34CE" w:rsidRDefault="002D34CE" w:rsidP="00CC7609">
      <w:pPr>
        <w:pStyle w:val="Normalindrag"/>
      </w:pPr>
    </w:p>
    <w:p w14:paraId="2ED01ECA" w14:textId="30BE825D" w:rsidR="002D34CE" w:rsidRDefault="002D34CE" w:rsidP="002D34CE">
      <w:pPr>
        <w:pStyle w:val="Rubrik3"/>
      </w:pPr>
      <w:r>
        <w:t>Instruktion för rättsfallsseminarium</w:t>
      </w:r>
    </w:p>
    <w:p w14:paraId="16C970CF" w14:textId="53EB4D0C" w:rsidR="00957551" w:rsidRDefault="003702F4" w:rsidP="003702F4">
      <w:r>
        <w:t xml:space="preserve">Vid </w:t>
      </w:r>
      <w:proofErr w:type="spellStart"/>
      <w:r>
        <w:t>rättfallsseminariet</w:t>
      </w:r>
      <w:proofErr w:type="spellEnd"/>
      <w:r>
        <w:t xml:space="preserve"> har varje grupp 20 minuter till sitt förfogande. </w:t>
      </w:r>
    </w:p>
    <w:p w14:paraId="56E24228" w14:textId="22E1A85B" w:rsidR="00957551" w:rsidRDefault="003702F4" w:rsidP="00400F95">
      <w:pPr>
        <w:pStyle w:val="Normalindrag"/>
      </w:pPr>
      <w:r>
        <w:t>Under ca 15 min av dessa ska gruppen presentera sina båda rättsfall samt sin jämförelse av dem, gärna med hjälp av en powerpointpresentation, då projektor finns i salen. (Jag kommer att ha med mig dator, om någon grupp behöver låna.) Under resterande tid ska den presenterande gruppen initiera en diskussion i seminariegruppen genom att formulera diskussionsfrågor och driva diskussionen framåt inom sitt ämnesområde.</w:t>
      </w:r>
    </w:p>
    <w:p w14:paraId="6D560578" w14:textId="6360C182" w:rsidR="00957551" w:rsidRDefault="003702F4" w:rsidP="00400F95">
      <w:pPr>
        <w:pStyle w:val="Normalindrag"/>
      </w:pPr>
      <w:r>
        <w:t>Samtliga gruppmedlemmar ska vara aktiva vid presentation och diskussion för att godkänt betyg på momentet ska erhållas. För åskådargrupperna gäller att de ska vara aktiva i diskussionen som initieras av presenterande grupp.</w:t>
      </w:r>
    </w:p>
    <w:p w14:paraId="179BF0D2" w14:textId="51628F10" w:rsidR="002D34CE" w:rsidRDefault="003702F4" w:rsidP="00957551">
      <w:pPr>
        <w:pStyle w:val="Normalindrag"/>
      </w:pPr>
      <w:r>
        <w:t>Betyget Godkänd eller Underkänd ges på gruppuppgiften. Det innebär att tentabetyget styr slutbetyget på kursen, under förutsättning att övriga obligatoriska moment på kursen är godkända.</w:t>
      </w:r>
    </w:p>
    <w:p w14:paraId="4D1728E9" w14:textId="0C895328" w:rsidR="00957551" w:rsidRDefault="00957551" w:rsidP="00957551">
      <w:pPr>
        <w:pStyle w:val="Normalindrag"/>
      </w:pPr>
    </w:p>
    <w:p w14:paraId="0B47D736" w14:textId="5E17F680" w:rsidR="00957551" w:rsidRDefault="00957551" w:rsidP="00957551">
      <w:pPr>
        <w:pStyle w:val="Normalindrag"/>
      </w:pPr>
    </w:p>
    <w:p w14:paraId="58587C11" w14:textId="725EEBAF" w:rsidR="00957551" w:rsidRDefault="00993965" w:rsidP="00D93E94">
      <w:pPr>
        <w:pStyle w:val="Rubrik2"/>
      </w:pPr>
      <w:proofErr w:type="gramStart"/>
      <w:r>
        <w:t>Tentan</w:t>
      </w:r>
      <w:proofErr w:type="gramEnd"/>
    </w:p>
    <w:p w14:paraId="3E847B68" w14:textId="10006C74" w:rsidR="00993965" w:rsidRDefault="00993965" w:rsidP="00993965">
      <w:pPr>
        <w:pStyle w:val="Rubrik3"/>
      </w:pPr>
      <w:r>
        <w:t>Tillåtna hjälpmedel</w:t>
      </w:r>
    </w:p>
    <w:p w14:paraId="2895AD34" w14:textId="77777777" w:rsidR="00A57DB9" w:rsidRDefault="00C438AE" w:rsidP="00C438AE">
      <w:proofErr w:type="gramStart"/>
      <w:r>
        <w:t>Tentan</w:t>
      </w:r>
      <w:proofErr w:type="gramEnd"/>
      <w:r>
        <w:t xml:space="preserve"> omfattar 5 </w:t>
      </w:r>
      <w:proofErr w:type="spellStart"/>
      <w:r>
        <w:t>hp</w:t>
      </w:r>
      <w:proofErr w:type="spellEnd"/>
      <w:r>
        <w:t xml:space="preserve"> och är enskild och skriftlig. På kursen ges betyget Väl godkänd, Godkänd eller Underkänd. Betyget på </w:t>
      </w:r>
      <w:proofErr w:type="gramStart"/>
      <w:r>
        <w:t>tentan</w:t>
      </w:r>
      <w:proofErr w:type="gramEnd"/>
      <w:r>
        <w:t xml:space="preserve"> avgör totalbetyget för kursen, under förutsättning att obligatoriska moment (seminarier och gruppuppgift) har fullgjorts med godkänt resultat. </w:t>
      </w:r>
    </w:p>
    <w:p w14:paraId="703063C8" w14:textId="77777777" w:rsidR="00A57DB9" w:rsidRDefault="00A57DB9" w:rsidP="00C438AE"/>
    <w:p w14:paraId="021F912E" w14:textId="77777777" w:rsidR="00A57DB9" w:rsidRDefault="00A57DB9" w:rsidP="00C438AE"/>
    <w:p w14:paraId="00590279" w14:textId="77777777" w:rsidR="00A57DB9" w:rsidRDefault="00A57DB9" w:rsidP="00C438AE"/>
    <w:p w14:paraId="007CC755" w14:textId="77777777" w:rsidR="00A57DB9" w:rsidRDefault="00A57DB9" w:rsidP="00C438AE"/>
    <w:p w14:paraId="7F024989" w14:textId="71C07CB3" w:rsidR="00C438AE" w:rsidRDefault="00C438AE" w:rsidP="00A57DB9">
      <w:pPr>
        <w:pStyle w:val="Normalindrag"/>
      </w:pPr>
      <w:bookmarkStart w:id="0" w:name="_GoBack"/>
      <w:bookmarkEnd w:id="0"/>
      <w:r>
        <w:lastRenderedPageBreak/>
        <w:t xml:space="preserve">Tillåtna hjälpmedel vid </w:t>
      </w:r>
      <w:proofErr w:type="gramStart"/>
      <w:r>
        <w:t>tentan</w:t>
      </w:r>
      <w:proofErr w:type="gramEnd"/>
      <w:r>
        <w:t xml:space="preserve"> är följande:</w:t>
      </w:r>
    </w:p>
    <w:p w14:paraId="57ABCBB8" w14:textId="74B32B3B" w:rsidR="0098488C" w:rsidRDefault="0098488C" w:rsidP="0098488C">
      <w:pPr>
        <w:pStyle w:val="Normalindrag"/>
      </w:pPr>
    </w:p>
    <w:p w14:paraId="188E6B06" w14:textId="088FAE9E" w:rsidR="0098488C" w:rsidRPr="0098488C" w:rsidRDefault="0098488C" w:rsidP="0098488C">
      <w:pPr>
        <w:pStyle w:val="Normalindrag"/>
      </w:pPr>
      <w:r>
        <w:t>Lagtext och obligatorisk kurslitteratur</w:t>
      </w:r>
    </w:p>
    <w:p w14:paraId="3779F6D1" w14:textId="77777777" w:rsidR="004F4BCA" w:rsidRDefault="004F4BCA" w:rsidP="004F4BCA">
      <w:pPr>
        <w:pStyle w:val="Normalindrag"/>
      </w:pPr>
    </w:p>
    <w:p w14:paraId="5CFE7CCD" w14:textId="78FBA10D" w:rsidR="004F4BCA" w:rsidRDefault="004F4BCA" w:rsidP="004F4BCA">
      <w:pPr>
        <w:pStyle w:val="Normalindrag"/>
      </w:pPr>
      <w:r>
        <w:t>Följande anteckningar i lagtexten</w:t>
      </w:r>
      <w:r w:rsidR="00F61241">
        <w:t xml:space="preserve"> och i den obligatoriska kurslitteraturen</w:t>
      </w:r>
      <w:r>
        <w:t xml:space="preserve"> är tillåtna:</w:t>
      </w:r>
    </w:p>
    <w:p w14:paraId="2A06AC40" w14:textId="77777777" w:rsidR="004F4BCA" w:rsidRDefault="004F4BCA" w:rsidP="004F4BCA">
      <w:pPr>
        <w:pStyle w:val="Normalindrag"/>
      </w:pPr>
      <w:r>
        <w:t>•</w:t>
      </w:r>
      <w:r>
        <w:tab/>
        <w:t xml:space="preserve">Understrykningar/överstrykningar </w:t>
      </w:r>
    </w:p>
    <w:p w14:paraId="5D0ADCAE" w14:textId="77777777" w:rsidR="004F4BCA" w:rsidRDefault="004F4BCA" w:rsidP="004F4BCA">
      <w:pPr>
        <w:pStyle w:val="Normalindrag"/>
      </w:pPr>
      <w:r>
        <w:t>•</w:t>
      </w:r>
      <w:r>
        <w:tab/>
        <w:t xml:space="preserve">Hänvisningar till andra lagparagrafer/lagar, </w:t>
      </w:r>
    </w:p>
    <w:p w14:paraId="04C0D95B" w14:textId="77777777" w:rsidR="004F4BCA" w:rsidRDefault="004F4BCA" w:rsidP="004F4BCA">
      <w:pPr>
        <w:pStyle w:val="Normalindrag"/>
      </w:pPr>
      <w:r>
        <w:t>ex 2:1 SkL eller 2 kap 1 § SkL</w:t>
      </w:r>
    </w:p>
    <w:p w14:paraId="755F18E0" w14:textId="77777777" w:rsidR="004F4BCA" w:rsidRDefault="004F4BCA" w:rsidP="004F4BCA">
      <w:pPr>
        <w:pStyle w:val="Normalindrag"/>
      </w:pPr>
      <w:r>
        <w:t>•</w:t>
      </w:r>
      <w:r>
        <w:tab/>
        <w:t xml:space="preserve">Hänvisningar till rättsfall med rättsfallets beteckning, </w:t>
      </w:r>
    </w:p>
    <w:p w14:paraId="5C4A38A4" w14:textId="6240F7CF" w:rsidR="004F4BCA" w:rsidRDefault="004F4BCA" w:rsidP="004F4BCA">
      <w:pPr>
        <w:pStyle w:val="Normalindrag"/>
      </w:pPr>
      <w:r>
        <w:t>ex NJA 1996 s 598.</w:t>
      </w:r>
    </w:p>
    <w:p w14:paraId="716FB0D0" w14:textId="6722CA7F" w:rsidR="00971C61" w:rsidRDefault="00971C61" w:rsidP="004F4BCA">
      <w:pPr>
        <w:pStyle w:val="Normalindrag"/>
      </w:pPr>
      <w:r w:rsidRPr="00971C61">
        <w:t>•</w:t>
      </w:r>
      <w:r w:rsidRPr="00971C61">
        <w:tab/>
        <w:t xml:space="preserve">Ord som förekommer i den tryckta texten får föras ut i marginalen och/eller på registerflikar invid den aktuella texten. </w:t>
      </w:r>
      <w:r w:rsidR="00C7783E">
        <w:t>O</w:t>
      </w:r>
      <w:r w:rsidRPr="00971C61">
        <w:t xml:space="preserve">rd som inte finns i texten får </w:t>
      </w:r>
      <w:r w:rsidR="00C7783E" w:rsidRPr="00C7783E">
        <w:rPr>
          <w:u w:val="single"/>
        </w:rPr>
        <w:t>inte</w:t>
      </w:r>
      <w:r w:rsidR="00C7783E">
        <w:t xml:space="preserve"> </w:t>
      </w:r>
      <w:r w:rsidRPr="00971C61">
        <w:t>förekomma.</w:t>
      </w:r>
    </w:p>
    <w:p w14:paraId="0FEFCA07" w14:textId="77777777" w:rsidR="00694DB6" w:rsidRDefault="00694DB6" w:rsidP="00C71768">
      <w:pPr>
        <w:pStyle w:val="Normalindrag"/>
      </w:pPr>
    </w:p>
    <w:p w14:paraId="25045419" w14:textId="747A61B4" w:rsidR="00AD0531" w:rsidRPr="00C71768" w:rsidRDefault="00AD0531" w:rsidP="00C71768">
      <w:pPr>
        <w:pStyle w:val="Normalindrag"/>
      </w:pPr>
      <w:r w:rsidRPr="00AD0531">
        <w:t>Kurslitter</w:t>
      </w:r>
      <w:r w:rsidR="00BC5FE4">
        <w:t>a</w:t>
      </w:r>
      <w:r w:rsidRPr="00AD0531">
        <w:t xml:space="preserve">turen får </w:t>
      </w:r>
      <w:r w:rsidR="00552BEB">
        <w:t xml:space="preserve">således </w:t>
      </w:r>
      <w:r w:rsidRPr="00AD0531">
        <w:t xml:space="preserve">inte innehålla andra uppgifter/annan text än den som står i boken. Man får </w:t>
      </w:r>
      <w:proofErr w:type="gramStart"/>
      <w:r w:rsidRPr="00AD0531">
        <w:t>t ex</w:t>
      </w:r>
      <w:proofErr w:type="gramEnd"/>
      <w:r w:rsidRPr="00AD0531">
        <w:t xml:space="preserve"> inte skriva till egna rättsfall på sista sidan. Däremot finns det inget hinder mot understrykningar och korshänvisningar mellan sidor och böcker.</w:t>
      </w:r>
    </w:p>
    <w:p w14:paraId="6C189CEE" w14:textId="77777777" w:rsidR="00A1487F" w:rsidRDefault="00A1487F" w:rsidP="00C438AE"/>
    <w:p w14:paraId="7A3C26DE" w14:textId="7A7B6D2F" w:rsidR="00C438AE" w:rsidRDefault="00C438AE" w:rsidP="000D789B">
      <w:pPr>
        <w:pStyle w:val="Rubrik3"/>
      </w:pPr>
      <w:r>
        <w:t xml:space="preserve">Gamla </w:t>
      </w:r>
      <w:proofErr w:type="gramStart"/>
      <w:r>
        <w:t>tentor</w:t>
      </w:r>
      <w:proofErr w:type="gramEnd"/>
    </w:p>
    <w:p w14:paraId="7B4D623F" w14:textId="5F181807" w:rsidR="00993965" w:rsidRDefault="00C438AE" w:rsidP="00C438AE">
      <w:r>
        <w:t xml:space="preserve">På kurssidan finns några övningstentor från tidigare år. Detta ger dig möjlighet att se upplägget på dem och öva inför </w:t>
      </w:r>
      <w:proofErr w:type="gramStart"/>
      <w:r>
        <w:t>tentan</w:t>
      </w:r>
      <w:proofErr w:type="gramEnd"/>
      <w:r>
        <w:t>. Notera dock, att eftersom juridik är ett område som löpande förändras, kan det ha skett lagändringar (ingen revidering av gamla rättningsmallar görs).</w:t>
      </w:r>
    </w:p>
    <w:p w14:paraId="3A5EB8E8" w14:textId="5EE8797E" w:rsidR="001A247C" w:rsidRDefault="001A247C" w:rsidP="001A247C">
      <w:pPr>
        <w:pStyle w:val="Normalindrag"/>
      </w:pPr>
    </w:p>
    <w:p w14:paraId="1789AF1E" w14:textId="2C1DF0FB" w:rsidR="001A247C" w:rsidRDefault="00A773BF" w:rsidP="001A247C">
      <w:pPr>
        <w:pStyle w:val="Rubrik2"/>
      </w:pPr>
      <w:r>
        <w:t xml:space="preserve">Frågor inför </w:t>
      </w:r>
      <w:proofErr w:type="gramStart"/>
      <w:r>
        <w:t>tentan</w:t>
      </w:r>
      <w:proofErr w:type="gramEnd"/>
    </w:p>
    <w:p w14:paraId="13B284A2" w14:textId="6E4FF630" w:rsidR="00A773BF" w:rsidRDefault="001319AF" w:rsidP="00A773BF">
      <w:r>
        <w:t>Vi</w:t>
      </w:r>
      <w:r w:rsidR="00310D76">
        <w:t>d</w:t>
      </w:r>
      <w:r>
        <w:t xml:space="preserve"> d</w:t>
      </w:r>
      <w:r w:rsidR="00665B70">
        <w:t>et sista</w:t>
      </w:r>
      <w:r w:rsidR="00D93E94" w:rsidRPr="00D93E94">
        <w:t xml:space="preserve"> undervisningstillfället på kursen </w:t>
      </w:r>
      <w:r w:rsidR="00665B70">
        <w:t xml:space="preserve">kommer </w:t>
      </w:r>
      <w:r>
        <w:t>ges möjlighet att ställa frågor</w:t>
      </w:r>
      <w:r w:rsidR="00310D76">
        <w:t>, inför tentamen. Också efter detta tillfäll</w:t>
      </w:r>
      <w:r w:rsidR="00887723">
        <w:t>e</w:t>
      </w:r>
      <w:r w:rsidR="00310D76">
        <w:t xml:space="preserve"> finns </w:t>
      </w:r>
      <w:r w:rsidR="00D93E94" w:rsidRPr="00D93E94">
        <w:t>möjlighet att ställa frågor till läraren om du kör fast i någon frågeställning vid din tentainläsning</w:t>
      </w:r>
      <w:r w:rsidR="003C6D04">
        <w:t xml:space="preserve"> – </w:t>
      </w:r>
      <w:proofErr w:type="gramStart"/>
      <w:r w:rsidR="003C6D04">
        <w:t>maila</w:t>
      </w:r>
      <w:proofErr w:type="gramEnd"/>
      <w:r w:rsidR="003C6D04">
        <w:t xml:space="preserve"> frågan till </w:t>
      </w:r>
      <w:hyperlink r:id="rId11" w:history="1">
        <w:r w:rsidR="00756AC5" w:rsidRPr="007505AE">
          <w:rPr>
            <w:rStyle w:val="Hyperlnk"/>
          </w:rPr>
          <w:t>asa.aslund@liu.se</w:t>
        </w:r>
      </w:hyperlink>
      <w:r w:rsidR="00756AC5">
        <w:t xml:space="preserve"> </w:t>
      </w:r>
      <w:r w:rsidR="00D93E94" w:rsidRPr="00D93E94">
        <w:t xml:space="preserve">. Frågor av bred karaktär (till exempel: När får man avskeda en arbetstagare?) kommer dock endast att besvaras med hänvisningar till kurslitteraturen. </w:t>
      </w:r>
      <w:r w:rsidR="003C6D04">
        <w:t>F</w:t>
      </w:r>
      <w:r w:rsidR="00D93E94" w:rsidRPr="00D93E94">
        <w:t xml:space="preserve">rågor av allmänt intresse kommer att läggas ut på </w:t>
      </w:r>
      <w:proofErr w:type="spellStart"/>
      <w:r w:rsidR="00D93E94" w:rsidRPr="00D93E94">
        <w:t>Lisam</w:t>
      </w:r>
      <w:proofErr w:type="spellEnd"/>
      <w:r w:rsidR="00D93E94" w:rsidRPr="00D93E94">
        <w:t xml:space="preserve"> så att alla kan ta del av dem.</w:t>
      </w:r>
    </w:p>
    <w:p w14:paraId="0CA485E7" w14:textId="1EB1A924" w:rsidR="00756AC5" w:rsidRDefault="00756AC5" w:rsidP="00756AC5">
      <w:pPr>
        <w:pStyle w:val="Normalindrag"/>
      </w:pPr>
    </w:p>
    <w:p w14:paraId="20B282BA" w14:textId="7B4DD955" w:rsidR="00756AC5" w:rsidRDefault="00756AC5" w:rsidP="00756AC5">
      <w:pPr>
        <w:pStyle w:val="Normalindrag"/>
      </w:pPr>
    </w:p>
    <w:p w14:paraId="749781D2" w14:textId="3E84AAD6" w:rsidR="00756AC5" w:rsidRDefault="00756AC5" w:rsidP="00756AC5">
      <w:r>
        <w:t xml:space="preserve">Varmt välkomna till </w:t>
      </w:r>
      <w:r w:rsidR="00C24EAE">
        <w:t>kursen!</w:t>
      </w:r>
    </w:p>
    <w:p w14:paraId="029AAEA2" w14:textId="541898D0" w:rsidR="00C24EAE" w:rsidRPr="00C24EAE" w:rsidRDefault="00C24EAE" w:rsidP="00C24EAE">
      <w:pPr>
        <w:pStyle w:val="Normalindrag"/>
        <w:ind w:firstLine="0"/>
      </w:pPr>
      <w:r>
        <w:t>Åsa Åslund</w:t>
      </w:r>
    </w:p>
    <w:p w14:paraId="6BB714F4" w14:textId="77777777" w:rsidR="0090018B" w:rsidRDefault="0090018B" w:rsidP="00A75D8E">
      <w:pPr>
        <w:pStyle w:val="Rubrik1"/>
      </w:pPr>
    </w:p>
    <w:p w14:paraId="7FE33648" w14:textId="198FD41A" w:rsidR="0090018B" w:rsidRDefault="0090018B" w:rsidP="00A75D8E">
      <w:pPr>
        <w:pStyle w:val="Rubrik1"/>
      </w:pPr>
    </w:p>
    <w:sectPr w:rsidR="0090018B" w:rsidSect="00D05C0F">
      <w:headerReference w:type="default" r:id="rId12"/>
      <w:footerReference w:type="default" r:id="rId13"/>
      <w:headerReference w:type="first" r:id="rId14"/>
      <w:footerReference w:type="first" r:id="rId15"/>
      <w:pgSz w:w="11900" w:h="16840"/>
      <w:pgMar w:top="2230" w:right="197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5CC6" w14:textId="77777777" w:rsidR="0048117E" w:rsidRDefault="0048117E" w:rsidP="003544CD">
      <w:r>
        <w:separator/>
      </w:r>
    </w:p>
    <w:p w14:paraId="7C0006F8" w14:textId="77777777" w:rsidR="0048117E" w:rsidRDefault="0048117E" w:rsidP="003544CD"/>
    <w:p w14:paraId="28185FA4" w14:textId="77777777" w:rsidR="0048117E" w:rsidRDefault="0048117E" w:rsidP="003544CD"/>
  </w:endnote>
  <w:endnote w:type="continuationSeparator" w:id="0">
    <w:p w14:paraId="5DCD65B3" w14:textId="77777777" w:rsidR="0048117E" w:rsidRDefault="0048117E" w:rsidP="003544CD">
      <w:r>
        <w:continuationSeparator/>
      </w:r>
    </w:p>
    <w:p w14:paraId="2BC372D9" w14:textId="77777777" w:rsidR="0048117E" w:rsidRDefault="0048117E" w:rsidP="003544CD"/>
    <w:p w14:paraId="0419BB1D" w14:textId="77777777" w:rsidR="0048117E" w:rsidRDefault="0048117E"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0839" w14:textId="77777777" w:rsidR="00B53568" w:rsidRDefault="00B53568" w:rsidP="003544CD">
    <w:pPr>
      <w:pStyle w:val="Sidfot"/>
    </w:pPr>
  </w:p>
  <w:p w14:paraId="2C846127" w14:textId="77777777" w:rsidR="00B53568" w:rsidRDefault="00B53568" w:rsidP="003544CD">
    <w:pPr>
      <w:pStyle w:val="Sidfot"/>
    </w:pPr>
  </w:p>
  <w:p w14:paraId="6D8FE4F7" w14:textId="77777777" w:rsidR="00B53568" w:rsidRDefault="006D47AD" w:rsidP="003544CD">
    <w:pPr>
      <w:pStyle w:val="Sidfot"/>
    </w:pPr>
    <w:r>
      <w:rPr>
        <w:noProof/>
      </w:rPr>
      <w:drawing>
        <wp:anchor distT="0" distB="0" distL="114300" distR="114300" simplePos="0" relativeHeight="251664384" behindDoc="1" locked="0" layoutInCell="1" allowOverlap="1" wp14:anchorId="3C67FEA9" wp14:editId="7CA1800B">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FC2BA" w14:textId="77777777" w:rsidR="00B53568" w:rsidRDefault="00B53568" w:rsidP="003544CD">
    <w:pPr>
      <w:pStyle w:val="Sidfot"/>
    </w:pPr>
  </w:p>
  <w:p w14:paraId="42EE4218" w14:textId="77777777" w:rsidR="00B53568" w:rsidRPr="00CF70F5" w:rsidRDefault="00B53568" w:rsidP="003544CD">
    <w:pPr>
      <w:pStyle w:val="Sidfot"/>
    </w:pPr>
  </w:p>
  <w:p w14:paraId="496A7B78" w14:textId="77777777" w:rsidR="00B53568" w:rsidRDefault="00B53568" w:rsidP="003544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single" w:sz="2"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127"/>
    </w:tblGrid>
    <w:tr w:rsidR="00C77E2E" w14:paraId="00CC2729" w14:textId="77777777" w:rsidTr="00A30F03">
      <w:trPr>
        <w:trHeight w:val="340"/>
      </w:trPr>
      <w:tc>
        <w:tcPr>
          <w:tcW w:w="6804" w:type="dxa"/>
          <w:tcBorders>
            <w:top w:val="nil"/>
            <w:bottom w:val="single" w:sz="4" w:space="0" w:color="auto"/>
          </w:tcBorders>
        </w:tcPr>
        <w:p w14:paraId="03CB311C" w14:textId="77777777" w:rsidR="00C77E2E" w:rsidRPr="00B21772" w:rsidRDefault="00C77E2E" w:rsidP="003544CD">
          <w:pPr>
            <w:pStyle w:val="Sidfot"/>
          </w:pPr>
        </w:p>
      </w:tc>
      <w:tc>
        <w:tcPr>
          <w:tcW w:w="2127" w:type="dxa"/>
          <w:tcBorders>
            <w:top w:val="nil"/>
            <w:bottom w:val="single" w:sz="4" w:space="0" w:color="auto"/>
          </w:tcBorders>
        </w:tcPr>
        <w:p w14:paraId="2527BEB7" w14:textId="77777777" w:rsidR="00C77E2E" w:rsidRPr="00B21772" w:rsidRDefault="00C77E2E" w:rsidP="00CF70F5">
          <w:pPr>
            <w:pStyle w:val="BasicParagraph"/>
            <w:spacing w:line="240" w:lineRule="auto"/>
            <w:rPr>
              <w:rFonts w:ascii="Calibri" w:hAnsi="Calibri" w:cs="Calibri"/>
              <w:sz w:val="18"/>
              <w:szCs w:val="18"/>
            </w:rPr>
          </w:pPr>
        </w:p>
      </w:tc>
    </w:tr>
    <w:tr w:rsidR="00C77E2E" w14:paraId="072B90C6" w14:textId="77777777" w:rsidTr="00A30F03">
      <w:trPr>
        <w:trHeight w:hRule="exact" w:val="737"/>
      </w:trPr>
      <w:tc>
        <w:tcPr>
          <w:tcW w:w="6804" w:type="dxa"/>
          <w:tcBorders>
            <w:top w:val="single" w:sz="4" w:space="0" w:color="auto"/>
          </w:tcBorders>
        </w:tcPr>
        <w:p w14:paraId="3306F79C" w14:textId="77777777" w:rsidR="00C77E2E" w:rsidRPr="00F54751" w:rsidRDefault="00C77E2E" w:rsidP="00A30F03">
          <w:pPr>
            <w:pStyle w:val="Sidhuvud"/>
            <w:tabs>
              <w:tab w:val="left" w:pos="4536"/>
            </w:tabs>
            <w:rPr>
              <w:rFonts w:cs="Calibri-Bold"/>
              <w:b/>
              <w:bCs/>
              <w:caps/>
              <w:szCs w:val="18"/>
            </w:rPr>
          </w:pPr>
          <w:r w:rsidRPr="00F54751">
            <w:rPr>
              <w:rFonts w:cs="Calibri-Bold"/>
              <w:b/>
              <w:bCs/>
              <w:caps/>
              <w:szCs w:val="18"/>
            </w:rPr>
            <w:t>Linköpings Universitet</w:t>
          </w:r>
        </w:p>
        <w:p w14:paraId="2D55D97E" w14:textId="77777777" w:rsidR="00C77E2E" w:rsidRPr="003544CD" w:rsidRDefault="00DF59E1" w:rsidP="00A30F03">
          <w:pPr>
            <w:pStyle w:val="Sidfot"/>
            <w:tabs>
              <w:tab w:val="left" w:pos="2260"/>
            </w:tabs>
          </w:pPr>
          <w:r>
            <w:rPr>
              <w:rFonts w:cs="Calibri"/>
              <w:caps/>
            </w:rPr>
            <w:fldChar w:fldCharType="begin"/>
          </w:r>
          <w:r>
            <w:rPr>
              <w:rFonts w:cs="Calibri"/>
              <w:caps/>
            </w:rPr>
            <w:instrText xml:space="preserve"> MACROBUTTON  AcceptAllConflictsInDoc INSTITUTION/AVDELNING </w:instrText>
          </w:r>
          <w:r>
            <w:rPr>
              <w:rFonts w:cs="Calibri"/>
              <w:caps/>
            </w:rPr>
            <w:fldChar w:fldCharType="end"/>
          </w:r>
        </w:p>
      </w:tc>
      <w:tc>
        <w:tcPr>
          <w:tcW w:w="2127" w:type="dxa"/>
          <w:tcBorders>
            <w:top w:val="single" w:sz="4" w:space="0" w:color="auto"/>
          </w:tcBorders>
        </w:tcPr>
        <w:p w14:paraId="51857021" w14:textId="77777777" w:rsidR="00C77E2E" w:rsidRPr="003544CD" w:rsidRDefault="00C77E2E" w:rsidP="00114C55">
          <w:pPr>
            <w:pStyle w:val="Sidfot"/>
          </w:pPr>
        </w:p>
      </w:tc>
    </w:tr>
  </w:tbl>
  <w:p w14:paraId="2D5DB194" w14:textId="77777777" w:rsidR="00B53568" w:rsidRPr="00CF70F5" w:rsidRDefault="00B53568" w:rsidP="00354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0CE3" w14:textId="77777777" w:rsidR="0048117E" w:rsidRDefault="0048117E" w:rsidP="003544CD">
      <w:r>
        <w:separator/>
      </w:r>
    </w:p>
    <w:p w14:paraId="0E8D44F2" w14:textId="77777777" w:rsidR="0048117E" w:rsidRDefault="0048117E" w:rsidP="003544CD"/>
    <w:p w14:paraId="5C9AC1A4" w14:textId="77777777" w:rsidR="0048117E" w:rsidRDefault="0048117E" w:rsidP="003544CD"/>
  </w:footnote>
  <w:footnote w:type="continuationSeparator" w:id="0">
    <w:p w14:paraId="7F1ACBEA" w14:textId="77777777" w:rsidR="0048117E" w:rsidRDefault="0048117E" w:rsidP="003544CD">
      <w:r>
        <w:continuationSeparator/>
      </w:r>
    </w:p>
    <w:p w14:paraId="420DC0C6" w14:textId="77777777" w:rsidR="0048117E" w:rsidRDefault="0048117E" w:rsidP="003544CD"/>
    <w:p w14:paraId="24A95402" w14:textId="77777777" w:rsidR="0048117E" w:rsidRDefault="0048117E"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070DDF" w14:paraId="56CAC2B5" w14:textId="77777777" w:rsidTr="00070DDF">
      <w:tc>
        <w:tcPr>
          <w:tcW w:w="5846" w:type="dxa"/>
        </w:tcPr>
        <w:p w14:paraId="78535348" w14:textId="77777777" w:rsidR="00070DDF" w:rsidRPr="00F54751" w:rsidRDefault="00070DDF" w:rsidP="003544CD">
          <w:pPr>
            <w:pStyle w:val="Sidhuvud"/>
            <w:tabs>
              <w:tab w:val="left" w:pos="4536"/>
            </w:tabs>
            <w:rPr>
              <w:rFonts w:cs="Calibri-Bold"/>
              <w:b/>
              <w:bCs/>
              <w:caps/>
              <w:szCs w:val="18"/>
            </w:rPr>
          </w:pPr>
          <w:r w:rsidRPr="00F54751">
            <w:rPr>
              <w:rFonts w:cs="Calibri-Bold"/>
              <w:b/>
              <w:bCs/>
              <w:caps/>
              <w:szCs w:val="18"/>
            </w:rPr>
            <w:t>Linköpings Universitet</w:t>
          </w:r>
        </w:p>
        <w:p w14:paraId="2FAEE585" w14:textId="77777777" w:rsidR="00A30F03" w:rsidRPr="00070DDF" w:rsidRDefault="00DF59E1" w:rsidP="00114C55">
          <w:pPr>
            <w:pStyle w:val="Sidhuvud"/>
            <w:tabs>
              <w:tab w:val="left" w:pos="4536"/>
            </w:tabs>
            <w:rPr>
              <w:rFonts w:cs="Calibri"/>
              <w:caps/>
              <w:szCs w:val="18"/>
            </w:rPr>
          </w:pPr>
          <w:r>
            <w:rPr>
              <w:rFonts w:cs="Calibri"/>
              <w:caps/>
              <w:szCs w:val="18"/>
            </w:rPr>
            <w:fldChar w:fldCharType="begin"/>
          </w:r>
          <w:r>
            <w:rPr>
              <w:rFonts w:cs="Calibri"/>
              <w:caps/>
              <w:szCs w:val="18"/>
            </w:rPr>
            <w:instrText xml:space="preserve"> MACROBUTTON  AcceptAllConflictsInDoc INSTITUTION/AVDELNING </w:instrText>
          </w:r>
          <w:r>
            <w:rPr>
              <w:rFonts w:cs="Calibri"/>
              <w:caps/>
              <w:szCs w:val="18"/>
            </w:rPr>
            <w:fldChar w:fldCharType="end"/>
          </w:r>
        </w:p>
      </w:tc>
      <w:tc>
        <w:tcPr>
          <w:tcW w:w="3164" w:type="dxa"/>
        </w:tcPr>
        <w:p w14:paraId="63A7FC9A" w14:textId="77777777" w:rsidR="00DF59E1" w:rsidRDefault="00DF59E1" w:rsidP="00BC63E9">
          <w:pPr>
            <w:pStyle w:val="Sidhuvud"/>
            <w:tabs>
              <w:tab w:val="clear" w:pos="8930"/>
              <w:tab w:val="left" w:pos="6190"/>
            </w:tabs>
            <w:ind w:right="-108"/>
            <w:jc w:val="right"/>
          </w:pPr>
          <w:r>
            <w:fldChar w:fldCharType="begin"/>
          </w:r>
          <w:r>
            <w:instrText xml:space="preserve"> MACROBUTTON  AcceptAllConflictsInDoc TITEL </w:instrText>
          </w:r>
          <w:r>
            <w:fldChar w:fldCharType="end"/>
          </w:r>
        </w:p>
        <w:p w14:paraId="3E927F41" w14:textId="77777777" w:rsidR="00DF59E1" w:rsidRDefault="00DF59E1" w:rsidP="0073249C">
          <w:pPr>
            <w:pStyle w:val="Sidhuvud"/>
            <w:tabs>
              <w:tab w:val="left" w:pos="4536"/>
            </w:tabs>
            <w:ind w:right="-108"/>
            <w:jc w:val="right"/>
          </w:pPr>
          <w:r>
            <w:fldChar w:fldCharType="begin"/>
          </w:r>
          <w:r>
            <w:instrText xml:space="preserve"> MACROBUTTON  AcceptAllConflictsInDoc UTGÅVA </w:instrText>
          </w:r>
          <w:r>
            <w:fldChar w:fldCharType="end"/>
          </w:r>
        </w:p>
        <w:p w14:paraId="1528BC41" w14:textId="77777777" w:rsidR="00070DDF" w:rsidRDefault="00070DDF"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sidR="00BC41B7">
            <w:rPr>
              <w:noProof/>
            </w:rPr>
            <w:t>2</w:t>
          </w:r>
          <w:r w:rsidRPr="003544CD">
            <w:fldChar w:fldCharType="end"/>
          </w:r>
          <w:r w:rsidRPr="003544CD">
            <w:t>(</w:t>
          </w:r>
          <w:fldSimple w:instr=" NUMPAGES  \* MERGEFORMAT ">
            <w:r w:rsidR="00BC41B7">
              <w:rPr>
                <w:noProof/>
              </w:rPr>
              <w:t>3</w:t>
            </w:r>
          </w:fldSimple>
          <w:r>
            <w:t>)</w:t>
          </w:r>
        </w:p>
      </w:tc>
    </w:tr>
  </w:tbl>
  <w:p w14:paraId="3B9C8354" w14:textId="77777777" w:rsidR="00B53568" w:rsidRPr="0073249C" w:rsidRDefault="00B53568" w:rsidP="003544CD">
    <w:pPr>
      <w:pStyle w:val="Sidhuvud"/>
      <w:tabs>
        <w:tab w:val="left" w:pos="4536"/>
      </w:tabs>
      <w:rPr>
        <w:rFonts w:ascii="Calibri-Bold" w:hAnsi="Calibri-Bold" w:cs="Calibri-Bold"/>
        <w:b/>
        <w:bCs/>
        <w:caps/>
        <w:szCs w:val="18"/>
      </w:rPr>
    </w:pPr>
  </w:p>
  <w:p w14:paraId="7E6704BB" w14:textId="77777777" w:rsidR="00B53568" w:rsidRDefault="00B53568" w:rsidP="003544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DF40EF" w14:paraId="56D830F2" w14:textId="77777777" w:rsidTr="00DF40EF">
      <w:tc>
        <w:tcPr>
          <w:tcW w:w="9039" w:type="dxa"/>
        </w:tcPr>
        <w:p w14:paraId="0EF6AC65" w14:textId="77777777" w:rsidR="00DF40EF" w:rsidRDefault="00A30F03" w:rsidP="00DF40EF">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58752" behindDoc="0" locked="0" layoutInCell="1" allowOverlap="1" wp14:anchorId="5ABA205A" wp14:editId="31780E5D">
                <wp:simplePos x="0" y="0"/>
                <wp:positionH relativeFrom="column">
                  <wp:posOffset>-971762</wp:posOffset>
                </wp:positionH>
                <wp:positionV relativeFrom="paragraph">
                  <wp:posOffset>-138649</wp:posOffset>
                </wp:positionV>
                <wp:extent cx="1908000" cy="486000"/>
                <wp:effectExtent l="0" t="0" r="0" b="952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7AD">
            <w:rPr>
              <w:rFonts w:cs="Calibri"/>
              <w:szCs w:val="18"/>
            </w:rPr>
            <w:fldChar w:fldCharType="begin"/>
          </w:r>
          <w:r w:rsidR="006D47AD">
            <w:rPr>
              <w:rFonts w:cs="Calibri"/>
              <w:szCs w:val="18"/>
            </w:rPr>
            <w:instrText xml:space="preserve"> CREATEDATE  \@ "yyyy-MM-dd"  \* MERGEFORMAT </w:instrText>
          </w:r>
          <w:r w:rsidR="006D47AD">
            <w:rPr>
              <w:rFonts w:cs="Calibri"/>
              <w:szCs w:val="18"/>
            </w:rPr>
            <w:fldChar w:fldCharType="separate"/>
          </w:r>
          <w:r w:rsidR="00D8565E">
            <w:rPr>
              <w:rFonts w:cs="Calibri"/>
              <w:noProof/>
              <w:szCs w:val="18"/>
            </w:rPr>
            <w:t>2019-10-08</w:t>
          </w:r>
          <w:r w:rsidR="006D47AD">
            <w:rPr>
              <w:rFonts w:cs="Calibri"/>
              <w:szCs w:val="18"/>
            </w:rPr>
            <w:fldChar w:fldCharType="end"/>
          </w:r>
        </w:p>
        <w:p w14:paraId="28406ABF" w14:textId="30EE43D0" w:rsidR="00DF40EF" w:rsidRDefault="00273BA5" w:rsidP="00DF40EF">
          <w:pPr>
            <w:pStyle w:val="Sidhuvud"/>
            <w:tabs>
              <w:tab w:val="clear" w:pos="8930"/>
              <w:tab w:val="left" w:pos="6190"/>
            </w:tabs>
            <w:ind w:right="-108"/>
            <w:jc w:val="right"/>
          </w:pPr>
          <w:r>
            <w:t>Arbetsrätt, 747g48</w:t>
          </w:r>
        </w:p>
        <w:p w14:paraId="4A4BE2E0" w14:textId="3FAC5E6D" w:rsidR="00F63750" w:rsidRDefault="00F63750" w:rsidP="00DF40EF">
          <w:pPr>
            <w:pStyle w:val="Sidhuvud"/>
            <w:tabs>
              <w:tab w:val="clear" w:pos="8930"/>
              <w:tab w:val="left" w:pos="6190"/>
            </w:tabs>
            <w:ind w:right="-108"/>
            <w:jc w:val="right"/>
          </w:pPr>
        </w:p>
        <w:p w14:paraId="5C4B7BC6" w14:textId="79B61067" w:rsidR="00DF40EF" w:rsidRDefault="00DF40EF"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sidR="00BC41B7">
            <w:rPr>
              <w:noProof/>
            </w:rPr>
            <w:t>1</w:t>
          </w:r>
          <w:r w:rsidRPr="003544CD">
            <w:fldChar w:fldCharType="end"/>
          </w:r>
          <w:r w:rsidRPr="003544CD">
            <w:t>(</w:t>
          </w:r>
          <w:r w:rsidR="0048117E">
            <w:fldChar w:fldCharType="begin"/>
          </w:r>
          <w:r w:rsidR="0048117E">
            <w:instrText xml:space="preserve"> NUMPAGES  \* MERGEFORMAT </w:instrText>
          </w:r>
          <w:r w:rsidR="0048117E">
            <w:fldChar w:fldCharType="separate"/>
          </w:r>
          <w:r w:rsidR="00BC41B7">
            <w:rPr>
              <w:noProof/>
            </w:rPr>
            <w:t>3</w:t>
          </w:r>
          <w:r w:rsidR="0048117E">
            <w:rPr>
              <w:noProof/>
            </w:rPr>
            <w:fldChar w:fldCharType="end"/>
          </w:r>
          <w:r>
            <w:t>)</w:t>
          </w:r>
        </w:p>
      </w:tc>
    </w:tr>
  </w:tbl>
  <w:p w14:paraId="3EDAA1D6" w14:textId="77777777" w:rsidR="00B53568" w:rsidRDefault="00B53568"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CC8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5E18"/>
    <w:multiLevelType w:val="multilevel"/>
    <w:tmpl w:val="E0EC3F8C"/>
    <w:numStyleLink w:val="Bulletedlist"/>
  </w:abstractNum>
  <w:abstractNum w:abstractNumId="2" w15:restartNumberingAfterBreak="0">
    <w:nsid w:val="1CCE421C"/>
    <w:multiLevelType w:val="multilevel"/>
    <w:tmpl w:val="EC6CA08C"/>
    <w:numStyleLink w:val="Numberedlist"/>
  </w:abstractNum>
  <w:abstractNum w:abstractNumId="3"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4" w15:restartNumberingAfterBreak="0">
    <w:nsid w:val="25044239"/>
    <w:multiLevelType w:val="multilevel"/>
    <w:tmpl w:val="E0EC3F8C"/>
    <w:numStyleLink w:val="Bulletedlist"/>
  </w:abstractNum>
  <w:abstractNum w:abstractNumId="5" w15:restartNumberingAfterBreak="0">
    <w:nsid w:val="299B5B7D"/>
    <w:multiLevelType w:val="hybridMultilevel"/>
    <w:tmpl w:val="6FACB8AC"/>
    <w:lvl w:ilvl="0" w:tplc="569E4400">
      <w:numFmt w:val="bullet"/>
      <w:lvlText w:val=""/>
      <w:lvlJc w:val="left"/>
      <w:pPr>
        <w:ind w:left="644" w:hanging="360"/>
      </w:pPr>
      <w:rPr>
        <w:rFonts w:ascii="Symbol" w:eastAsiaTheme="minorEastAsia" w:hAnsi="Symbol" w:cs="Georgi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E716F7"/>
    <w:multiLevelType w:val="hybridMultilevel"/>
    <w:tmpl w:val="6BD431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10" w15:restartNumberingAfterBreak="0">
    <w:nsid w:val="315F4C3E"/>
    <w:multiLevelType w:val="hybridMultilevel"/>
    <w:tmpl w:val="36D8825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37E1C27"/>
    <w:multiLevelType w:val="multilevel"/>
    <w:tmpl w:val="E0EC3F8C"/>
    <w:numStyleLink w:val="Bulletedlist"/>
  </w:abstractNum>
  <w:abstractNum w:abstractNumId="12" w15:restartNumberingAfterBreak="0">
    <w:nsid w:val="34DC2473"/>
    <w:multiLevelType w:val="multilevel"/>
    <w:tmpl w:val="91BEAA72"/>
    <w:numStyleLink w:val="HeadingNumbering"/>
  </w:abstractNum>
  <w:abstractNum w:abstractNumId="13" w15:restartNumberingAfterBreak="0">
    <w:nsid w:val="37741FDB"/>
    <w:multiLevelType w:val="hybridMultilevel"/>
    <w:tmpl w:val="A85EBABA"/>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4" w15:restartNumberingAfterBreak="0">
    <w:nsid w:val="38B3715E"/>
    <w:multiLevelType w:val="hybridMultilevel"/>
    <w:tmpl w:val="0624CBCC"/>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5" w15:restartNumberingAfterBreak="0">
    <w:nsid w:val="42377F11"/>
    <w:multiLevelType w:val="multilevel"/>
    <w:tmpl w:val="EC6CA08C"/>
    <w:numStyleLink w:val="Numberedlist"/>
  </w:abstractNum>
  <w:abstractNum w:abstractNumId="16" w15:restartNumberingAfterBreak="0">
    <w:nsid w:val="46F60619"/>
    <w:multiLevelType w:val="multilevel"/>
    <w:tmpl w:val="E0EC3F8C"/>
    <w:numStyleLink w:val="Bulletedlist"/>
  </w:abstractNum>
  <w:abstractNum w:abstractNumId="17" w15:restartNumberingAfterBreak="0">
    <w:nsid w:val="49B274C8"/>
    <w:multiLevelType w:val="multilevel"/>
    <w:tmpl w:val="E00A7AFC"/>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tabs>
          <w:tab w:val="num" w:pos="1797"/>
        </w:tabs>
        <w:ind w:left="1247" w:hanging="283"/>
      </w:pPr>
      <w:rPr>
        <w:rFonts w:hint="default"/>
      </w:rPr>
    </w:lvl>
    <w:lvl w:ilvl="3">
      <w:start w:val="1"/>
      <w:numFmt w:val="decimal"/>
      <w:lvlText w:val="%4"/>
      <w:lvlJc w:val="left"/>
      <w:pPr>
        <w:tabs>
          <w:tab w:val="num" w:pos="2517"/>
        </w:tabs>
        <w:ind w:left="1587" w:hanging="283"/>
      </w:pPr>
      <w:rPr>
        <w:rFonts w:hint="default"/>
      </w:rPr>
    </w:lvl>
    <w:lvl w:ilvl="4">
      <w:start w:val="1"/>
      <w:numFmt w:val="lowerLetter"/>
      <w:lvlText w:val="%5"/>
      <w:lvlJc w:val="left"/>
      <w:pPr>
        <w:tabs>
          <w:tab w:val="num" w:pos="3238"/>
        </w:tabs>
        <w:ind w:left="1927" w:hanging="283"/>
      </w:pPr>
      <w:rPr>
        <w:rFonts w:hint="default"/>
      </w:rPr>
    </w:lvl>
    <w:lvl w:ilvl="5">
      <w:start w:val="1"/>
      <w:numFmt w:val="lowerRoman"/>
      <w:lvlText w:val="%6"/>
      <w:lvlJc w:val="left"/>
      <w:pPr>
        <w:ind w:left="2267" w:hanging="283"/>
      </w:pPr>
      <w:rPr>
        <w:rFont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18" w15:restartNumberingAfterBreak="0">
    <w:nsid w:val="53983554"/>
    <w:multiLevelType w:val="hybridMultilevel"/>
    <w:tmpl w:val="83B2A2C8"/>
    <w:lvl w:ilvl="0" w:tplc="E702DD2C">
      <w:start w:val="2019"/>
      <w:numFmt w:val="bullet"/>
      <w:lvlText w:val="-"/>
      <w:lvlJc w:val="left"/>
      <w:pPr>
        <w:ind w:left="720" w:hanging="360"/>
      </w:pPr>
      <w:rPr>
        <w:rFonts w:ascii="Georgia" w:eastAsiaTheme="minorEastAsia"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9D4D7F"/>
    <w:multiLevelType w:val="hybridMultilevel"/>
    <w:tmpl w:val="86109A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6824A3"/>
    <w:multiLevelType w:val="multilevel"/>
    <w:tmpl w:val="E0EC3F8C"/>
    <w:numStyleLink w:val="Bulletedlist"/>
  </w:abstractNum>
  <w:abstractNum w:abstractNumId="21"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22" w15:restartNumberingAfterBreak="0">
    <w:nsid w:val="5EA114AD"/>
    <w:multiLevelType w:val="multilevel"/>
    <w:tmpl w:val="EC6CA08C"/>
    <w:numStyleLink w:val="Numberedlist"/>
  </w:abstractNum>
  <w:abstractNum w:abstractNumId="23" w15:restartNumberingAfterBreak="0">
    <w:nsid w:val="656A67B4"/>
    <w:multiLevelType w:val="multilevel"/>
    <w:tmpl w:val="EC6CA08C"/>
    <w:numStyleLink w:val="Numberedlist"/>
  </w:abstractNum>
  <w:abstractNum w:abstractNumId="24" w15:restartNumberingAfterBreak="0">
    <w:nsid w:val="784C4DFC"/>
    <w:multiLevelType w:val="multilevel"/>
    <w:tmpl w:val="EC6CA08C"/>
    <w:numStyleLink w:val="Numberedlist"/>
  </w:abstractNum>
  <w:abstractNum w:abstractNumId="25" w15:restartNumberingAfterBreak="0">
    <w:nsid w:val="7C9F3ECA"/>
    <w:multiLevelType w:val="hybridMultilevel"/>
    <w:tmpl w:val="7C86B77A"/>
    <w:lvl w:ilvl="0" w:tplc="041D000F">
      <w:start w:val="1"/>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6" w15:restartNumberingAfterBreak="0">
    <w:nsid w:val="7E875051"/>
    <w:multiLevelType w:val="multilevel"/>
    <w:tmpl w:val="EC6CA08C"/>
    <w:numStyleLink w:val="Numberedlist"/>
  </w:abstractNum>
  <w:num w:numId="1">
    <w:abstractNumId w:val="5"/>
  </w:num>
  <w:num w:numId="2">
    <w:abstractNumId w:val="13"/>
  </w:num>
  <w:num w:numId="3">
    <w:abstractNumId w:val="25"/>
  </w:num>
  <w:num w:numId="4">
    <w:abstractNumId w:val="6"/>
  </w:num>
  <w:num w:numId="5">
    <w:abstractNumId w:val="10"/>
  </w:num>
  <w:num w:numId="6">
    <w:abstractNumId w:val="19"/>
  </w:num>
  <w:num w:numId="7">
    <w:abstractNumId w:val="9"/>
  </w:num>
  <w:num w:numId="8">
    <w:abstractNumId w:val="4"/>
  </w:num>
  <w:num w:numId="9">
    <w:abstractNumId w:val="11"/>
  </w:num>
  <w:num w:numId="10">
    <w:abstractNumId w:val="17"/>
  </w:num>
  <w:num w:numId="11">
    <w:abstractNumId w:val="16"/>
  </w:num>
  <w:num w:numId="12">
    <w:abstractNumId w:val="20"/>
  </w:num>
  <w:num w:numId="13">
    <w:abstractNumId w:val="21"/>
  </w:num>
  <w:num w:numId="14">
    <w:abstractNumId w:val="26"/>
  </w:num>
  <w:num w:numId="15">
    <w:abstractNumId w:val="22"/>
  </w:num>
  <w:num w:numId="16">
    <w:abstractNumId w:val="24"/>
  </w:num>
  <w:num w:numId="17">
    <w:abstractNumId w:val="2"/>
  </w:num>
  <w:num w:numId="18">
    <w:abstractNumId w:val="23"/>
  </w:num>
  <w:num w:numId="19">
    <w:abstractNumId w:val="15"/>
  </w:num>
  <w:num w:numId="20">
    <w:abstractNumId w:val="1"/>
  </w:num>
  <w:num w:numId="21">
    <w:abstractNumId w:val="3"/>
  </w:num>
  <w:num w:numId="22">
    <w:abstractNumId w:val="7"/>
  </w:num>
  <w:num w:numId="23">
    <w:abstractNumId w:val="12"/>
  </w:num>
  <w:num w:numId="24">
    <w:abstractNumId w:val="0"/>
  </w:num>
  <w:num w:numId="25">
    <w:abstractNumId w:val="14"/>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5E"/>
    <w:rsid w:val="00033A83"/>
    <w:rsid w:val="00070DDF"/>
    <w:rsid w:val="00092121"/>
    <w:rsid w:val="000D789B"/>
    <w:rsid w:val="000E57EE"/>
    <w:rsid w:val="00113FEE"/>
    <w:rsid w:val="00114C55"/>
    <w:rsid w:val="001265B5"/>
    <w:rsid w:val="001319AF"/>
    <w:rsid w:val="001459E5"/>
    <w:rsid w:val="00157464"/>
    <w:rsid w:val="001935E2"/>
    <w:rsid w:val="00194EB2"/>
    <w:rsid w:val="0019727E"/>
    <w:rsid w:val="001A247C"/>
    <w:rsid w:val="001C23B5"/>
    <w:rsid w:val="001C4A9B"/>
    <w:rsid w:val="001D0B9A"/>
    <w:rsid w:val="001D328A"/>
    <w:rsid w:val="00226C00"/>
    <w:rsid w:val="00234657"/>
    <w:rsid w:val="00236523"/>
    <w:rsid w:val="0026346A"/>
    <w:rsid w:val="00264D90"/>
    <w:rsid w:val="0026543D"/>
    <w:rsid w:val="00273BA5"/>
    <w:rsid w:val="00292335"/>
    <w:rsid w:val="00292455"/>
    <w:rsid w:val="002C7326"/>
    <w:rsid w:val="002D34CE"/>
    <w:rsid w:val="002D45C8"/>
    <w:rsid w:val="002F2371"/>
    <w:rsid w:val="002F7ADD"/>
    <w:rsid w:val="00310D76"/>
    <w:rsid w:val="00317D4C"/>
    <w:rsid w:val="00333A4D"/>
    <w:rsid w:val="00342998"/>
    <w:rsid w:val="0035144B"/>
    <w:rsid w:val="003544CD"/>
    <w:rsid w:val="00355445"/>
    <w:rsid w:val="003702F4"/>
    <w:rsid w:val="003B0AB7"/>
    <w:rsid w:val="003B5B07"/>
    <w:rsid w:val="003C4E33"/>
    <w:rsid w:val="003C6D04"/>
    <w:rsid w:val="003E21D6"/>
    <w:rsid w:val="003F0C05"/>
    <w:rsid w:val="00400F95"/>
    <w:rsid w:val="004235B4"/>
    <w:rsid w:val="00427FCA"/>
    <w:rsid w:val="00441257"/>
    <w:rsid w:val="00475DBB"/>
    <w:rsid w:val="0048117E"/>
    <w:rsid w:val="004B7D5D"/>
    <w:rsid w:val="004E4B10"/>
    <w:rsid w:val="004F4BCA"/>
    <w:rsid w:val="00523D6B"/>
    <w:rsid w:val="00532D59"/>
    <w:rsid w:val="005355BA"/>
    <w:rsid w:val="00537B40"/>
    <w:rsid w:val="00547F07"/>
    <w:rsid w:val="00552BEB"/>
    <w:rsid w:val="00562C0E"/>
    <w:rsid w:val="005630A4"/>
    <w:rsid w:val="0056423D"/>
    <w:rsid w:val="00564E15"/>
    <w:rsid w:val="00570DE3"/>
    <w:rsid w:val="00574175"/>
    <w:rsid w:val="00594125"/>
    <w:rsid w:val="005E366D"/>
    <w:rsid w:val="005E4C37"/>
    <w:rsid w:val="00600144"/>
    <w:rsid w:val="00647E28"/>
    <w:rsid w:val="00665B70"/>
    <w:rsid w:val="0066664B"/>
    <w:rsid w:val="0068335C"/>
    <w:rsid w:val="00694DB6"/>
    <w:rsid w:val="006B3395"/>
    <w:rsid w:val="006C27CF"/>
    <w:rsid w:val="006D47AD"/>
    <w:rsid w:val="006D561A"/>
    <w:rsid w:val="006D72AB"/>
    <w:rsid w:val="006F2716"/>
    <w:rsid w:val="007058CB"/>
    <w:rsid w:val="0073249C"/>
    <w:rsid w:val="007368B6"/>
    <w:rsid w:val="00736E9F"/>
    <w:rsid w:val="00751D79"/>
    <w:rsid w:val="00756AC5"/>
    <w:rsid w:val="00784D0C"/>
    <w:rsid w:val="007B7581"/>
    <w:rsid w:val="007B7B6C"/>
    <w:rsid w:val="007C2579"/>
    <w:rsid w:val="007C6922"/>
    <w:rsid w:val="007D65C3"/>
    <w:rsid w:val="00807211"/>
    <w:rsid w:val="008323AC"/>
    <w:rsid w:val="00851368"/>
    <w:rsid w:val="00860F95"/>
    <w:rsid w:val="00865A52"/>
    <w:rsid w:val="00887723"/>
    <w:rsid w:val="008A3F44"/>
    <w:rsid w:val="008F3B8B"/>
    <w:rsid w:val="008F5AA8"/>
    <w:rsid w:val="008F5FB2"/>
    <w:rsid w:val="008F7A3B"/>
    <w:rsid w:val="0090018B"/>
    <w:rsid w:val="009003D5"/>
    <w:rsid w:val="00931AE5"/>
    <w:rsid w:val="00956B34"/>
    <w:rsid w:val="00957551"/>
    <w:rsid w:val="00971C61"/>
    <w:rsid w:val="00974E9F"/>
    <w:rsid w:val="0098488C"/>
    <w:rsid w:val="00993965"/>
    <w:rsid w:val="009C2791"/>
    <w:rsid w:val="009D46B1"/>
    <w:rsid w:val="009F09FC"/>
    <w:rsid w:val="009F2208"/>
    <w:rsid w:val="00A0154E"/>
    <w:rsid w:val="00A10A96"/>
    <w:rsid w:val="00A1487F"/>
    <w:rsid w:val="00A30F03"/>
    <w:rsid w:val="00A4146F"/>
    <w:rsid w:val="00A55BDD"/>
    <w:rsid w:val="00A57DB9"/>
    <w:rsid w:val="00A75D8E"/>
    <w:rsid w:val="00A773BF"/>
    <w:rsid w:val="00A96854"/>
    <w:rsid w:val="00A975F0"/>
    <w:rsid w:val="00AB56AA"/>
    <w:rsid w:val="00AB5E11"/>
    <w:rsid w:val="00AD0531"/>
    <w:rsid w:val="00AD3584"/>
    <w:rsid w:val="00AE0C6E"/>
    <w:rsid w:val="00B11B9F"/>
    <w:rsid w:val="00B21772"/>
    <w:rsid w:val="00B2451F"/>
    <w:rsid w:val="00B24748"/>
    <w:rsid w:val="00B37A0D"/>
    <w:rsid w:val="00B4691B"/>
    <w:rsid w:val="00B53568"/>
    <w:rsid w:val="00B76456"/>
    <w:rsid w:val="00B81B4E"/>
    <w:rsid w:val="00BB35F4"/>
    <w:rsid w:val="00BC41B7"/>
    <w:rsid w:val="00BC5FE4"/>
    <w:rsid w:val="00BD256A"/>
    <w:rsid w:val="00BD5F74"/>
    <w:rsid w:val="00BE2280"/>
    <w:rsid w:val="00BF0143"/>
    <w:rsid w:val="00C01242"/>
    <w:rsid w:val="00C020D4"/>
    <w:rsid w:val="00C060DF"/>
    <w:rsid w:val="00C1285C"/>
    <w:rsid w:val="00C24EAE"/>
    <w:rsid w:val="00C36E0B"/>
    <w:rsid w:val="00C4281D"/>
    <w:rsid w:val="00C438AE"/>
    <w:rsid w:val="00C45BEB"/>
    <w:rsid w:val="00C6463B"/>
    <w:rsid w:val="00C71768"/>
    <w:rsid w:val="00C7783E"/>
    <w:rsid w:val="00C77E2E"/>
    <w:rsid w:val="00C907E0"/>
    <w:rsid w:val="00CB6687"/>
    <w:rsid w:val="00CB67B0"/>
    <w:rsid w:val="00CC0E56"/>
    <w:rsid w:val="00CC7609"/>
    <w:rsid w:val="00CE2429"/>
    <w:rsid w:val="00CF70F5"/>
    <w:rsid w:val="00D03572"/>
    <w:rsid w:val="00D05C0F"/>
    <w:rsid w:val="00D22095"/>
    <w:rsid w:val="00D32A2B"/>
    <w:rsid w:val="00D35286"/>
    <w:rsid w:val="00D41F91"/>
    <w:rsid w:val="00D71806"/>
    <w:rsid w:val="00D84640"/>
    <w:rsid w:val="00D8565E"/>
    <w:rsid w:val="00D93E94"/>
    <w:rsid w:val="00D970E3"/>
    <w:rsid w:val="00D97414"/>
    <w:rsid w:val="00DA2BAC"/>
    <w:rsid w:val="00DB4219"/>
    <w:rsid w:val="00DD10BB"/>
    <w:rsid w:val="00DD3C38"/>
    <w:rsid w:val="00DE129E"/>
    <w:rsid w:val="00DF148A"/>
    <w:rsid w:val="00DF40EF"/>
    <w:rsid w:val="00DF59E1"/>
    <w:rsid w:val="00E07FDD"/>
    <w:rsid w:val="00E21BEC"/>
    <w:rsid w:val="00E26C02"/>
    <w:rsid w:val="00E601CB"/>
    <w:rsid w:val="00E96269"/>
    <w:rsid w:val="00EC45C2"/>
    <w:rsid w:val="00EF195C"/>
    <w:rsid w:val="00F07CEB"/>
    <w:rsid w:val="00F341AB"/>
    <w:rsid w:val="00F43EFA"/>
    <w:rsid w:val="00F462DA"/>
    <w:rsid w:val="00F477DA"/>
    <w:rsid w:val="00F54751"/>
    <w:rsid w:val="00F61241"/>
    <w:rsid w:val="00F63750"/>
    <w:rsid w:val="00F81290"/>
    <w:rsid w:val="00F9675C"/>
    <w:rsid w:val="00F96F8B"/>
    <w:rsid w:val="00FA63D6"/>
    <w:rsid w:val="00FD0F52"/>
    <w:rsid w:val="00FD2DCB"/>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E13AE2"/>
  <w15:docId w15:val="{C866370F-913E-4C98-887E-14619D55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B4691B"/>
    <w:pPr>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basedOn w:val="Normal"/>
    <w:next w:val="Normal"/>
    <w:link w:val="Rubrik1Char"/>
    <w:uiPriority w:val="9"/>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uiPriority w:val="9"/>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uiPriority w:val="9"/>
    <w:qFormat/>
    <w:rsid w:val="00236523"/>
    <w:pPr>
      <w:spacing w:before="150" w:after="57" w:line="288" w:lineRule="auto"/>
      <w:outlineLvl w:val="2"/>
    </w:pPr>
    <w:rPr>
      <w:sz w:val="24"/>
      <w:szCs w:val="24"/>
    </w:rPr>
  </w:style>
  <w:style w:type="paragraph" w:styleId="Rubrik4">
    <w:name w:val="heading 4"/>
    <w:basedOn w:val="Rubrik1"/>
    <w:next w:val="Normal"/>
    <w:link w:val="Rubrik4Char"/>
    <w:uiPriority w:val="9"/>
    <w:unhideWhenUsed/>
    <w:rsid w:val="00F341AB"/>
    <w:pPr>
      <w:spacing w:before="150" w:after="57" w:line="288" w:lineRule="auto"/>
      <w:outlineLvl w:val="3"/>
    </w:pPr>
    <w:rPr>
      <w:rFonts w:eastAsiaTheme="majorEastAsia" w:cstheme="majorBidi"/>
      <w:iCs/>
      <w:color w:val="auto"/>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59"/>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rsid w:val="006D561A"/>
    <w:pPr>
      <w:numPr>
        <w:ilvl w:val="1"/>
        <w:numId w:val="4"/>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iPriority w:val="35"/>
    <w:unhideWhenUsed/>
    <w:qFormat/>
    <w:rsid w:val="006C27CF"/>
    <w:pPr>
      <w:keepLines/>
      <w:spacing w:before="300" w:after="300"/>
      <w:jc w:val="center"/>
    </w:pPr>
    <w:rPr>
      <w:i/>
      <w:iCs/>
      <w:color w:val="auto"/>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7"/>
      </w:numPr>
    </w:pPr>
  </w:style>
  <w:style w:type="numbering" w:customStyle="1" w:styleId="Numberedlist">
    <w:name w:val="Numbered list"/>
    <w:uiPriority w:val="99"/>
    <w:rsid w:val="00574175"/>
    <w:pPr>
      <w:numPr>
        <w:numId w:val="1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21"/>
      </w:numPr>
    </w:pPr>
  </w:style>
  <w:style w:type="numbering" w:customStyle="1" w:styleId="IsolatedNumberedList">
    <w:name w:val="Isolated Numbered List"/>
    <w:uiPriority w:val="99"/>
    <w:rsid w:val="001C4A9B"/>
    <w:pPr>
      <w:numPr>
        <w:numId w:val="21"/>
      </w:numPr>
    </w:pPr>
  </w:style>
  <w:style w:type="numbering" w:customStyle="1" w:styleId="HeadingNumbering">
    <w:name w:val="Heading Numbering"/>
    <w:uiPriority w:val="99"/>
    <w:rsid w:val="0066664B"/>
    <w:pPr>
      <w:numPr>
        <w:numId w:val="22"/>
      </w:numPr>
    </w:pPr>
  </w:style>
  <w:style w:type="paragraph" w:styleId="Innehllsfrteckningsrubrik">
    <w:name w:val="TOC Heading"/>
    <w:basedOn w:val="Rubrik1"/>
    <w:next w:val="Normal"/>
    <w:uiPriority w:val="39"/>
    <w:unhideWhenUsed/>
    <w:qFormat/>
    <w:rsid w:val="00157464"/>
    <w:pPr>
      <w:autoSpaceDE/>
      <w:autoSpaceDN/>
      <w:adjustRightInd/>
      <w:textAlignment w:val="auto"/>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iPriority w:val="99"/>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character" w:styleId="Olstomnmnande">
    <w:name w:val="Unresolved Mention"/>
    <w:basedOn w:val="Standardstycketeckensnitt"/>
    <w:uiPriority w:val="99"/>
    <w:rsid w:val="003C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aslund@liu.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47ECBBDC91EA47BEBF23FEA276917C" ma:contentTypeVersion="4" ma:contentTypeDescription="Skapa ett nytt dokument." ma:contentTypeScope="" ma:versionID="676828352dcc395b61ecafb1346846a5">
  <xsd:schema xmlns:xsd="http://www.w3.org/2001/XMLSchema" xmlns:xs="http://www.w3.org/2001/XMLSchema" xmlns:p="http://schemas.microsoft.com/office/2006/metadata/properties" xmlns:ns2="8fe784b5-9e21-440e-80b2-940e6f2ec473" xmlns:ns3="1d6cdc3e-9df9-43a4-9c3b-5774161f6e77" targetNamespace="http://schemas.microsoft.com/office/2006/metadata/properties" ma:root="true" ma:fieldsID="cbf6ac593842bf09074a136647fadd5c" ns2:_="" ns3:_="">
    <xsd:import namespace="8fe784b5-9e21-440e-80b2-940e6f2ec473"/>
    <xsd:import namespace="1d6cdc3e-9df9-43a4-9c3b-5774161f6e77"/>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784b5-9e21-440e-80b2-940e6f2ec47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cdc3e-9df9-43a4-9c3b-5774161f6e77"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8fe784b5-9e21-440e-80b2-940e6f2ec473" xsi:nil="true"/>
    <_lisam_PublishedVersion xmlns="1d6cdc3e-9df9-43a4-9c3b-5774161f6e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C0AE3-86A6-4E16-8C3A-37F2479DF945}"/>
</file>

<file path=customXml/itemProps2.xml><?xml version="1.0" encoding="utf-8"?>
<ds:datastoreItem xmlns:ds="http://schemas.openxmlformats.org/officeDocument/2006/customXml" ds:itemID="{FDDA33CE-631B-4C92-8CA5-A9090A3C63F6}">
  <ds:schemaRefs>
    <ds:schemaRef ds:uri="http://schemas.microsoft.com/sharepoint/v3/contenttype/forms"/>
  </ds:schemaRefs>
</ds:datastoreItem>
</file>

<file path=customXml/itemProps3.xml><?xml version="1.0" encoding="utf-8"?>
<ds:datastoreItem xmlns:ds="http://schemas.openxmlformats.org/officeDocument/2006/customXml" ds:itemID="{823CA797-4DFE-4D71-B342-3A896507C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F1FBA-884C-46AA-94FE-0031BD01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151</TotalTime>
  <Pages>8</Pages>
  <Words>2130</Words>
  <Characters>11295</Characters>
  <Application>Microsoft Office Word</Application>
  <DocSecurity>0</DocSecurity>
  <Lines>94</Lines>
  <Paragraphs>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13399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Åslund</dc:creator>
  <cp:keywords/>
  <dc:description/>
  <cp:lastModifiedBy>Åsa Åslund</cp:lastModifiedBy>
  <cp:revision>52</cp:revision>
  <cp:lastPrinted>2015-06-11T13:57:00Z</cp:lastPrinted>
  <dcterms:created xsi:type="dcterms:W3CDTF">2019-10-08T13:39:00Z</dcterms:created>
  <dcterms:modified xsi:type="dcterms:W3CDTF">2019-10-14T12:05:00Z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0x010100D147ECBBDC91EA47BEBF23FEA276917C</vt:lpwstr>
  </property>
</Properties>
</file>